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22B" w14:textId="77777777" w:rsidR="00F01199" w:rsidRDefault="00F01199" w:rsidP="00F01199">
      <w:pPr>
        <w:pStyle w:val="Heading1"/>
        <w:spacing w:before="1"/>
        <w:ind w:left="607"/>
        <w:rPr>
          <w:color w:val="232323"/>
          <w:spacing w:val="-2"/>
        </w:rPr>
      </w:pPr>
      <w:r>
        <w:rPr>
          <w:color w:val="232323"/>
        </w:rPr>
        <w:t>Burned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Area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Rehabilitation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(BAR)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Projects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Five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Ten-Years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Post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Wildfire</w:t>
      </w:r>
    </w:p>
    <w:p w14:paraId="5C39796D" w14:textId="77777777" w:rsidR="00F01199" w:rsidRDefault="00F01199" w:rsidP="00F01199">
      <w:pPr>
        <w:pStyle w:val="Heading1"/>
        <w:spacing w:before="1"/>
        <w:ind w:left="607"/>
        <w:rPr>
          <w:color w:val="232323"/>
          <w:spacing w:val="-2"/>
        </w:rPr>
      </w:pPr>
    </w:p>
    <w:p w14:paraId="23F4238A" w14:textId="77777777" w:rsidR="00F01199" w:rsidRDefault="00F01199" w:rsidP="00F01199">
      <w:pPr>
        <w:pStyle w:val="Heading1"/>
        <w:spacing w:before="1"/>
        <w:ind w:left="607"/>
        <w:jc w:val="center"/>
      </w:pPr>
      <w:r>
        <w:rPr>
          <w:color w:val="232323"/>
          <w:spacing w:val="-2"/>
        </w:rPr>
        <w:t>FY 2025 Funding Year</w:t>
      </w:r>
    </w:p>
    <w:p w14:paraId="3B3B5542" w14:textId="77777777" w:rsidR="00F01199" w:rsidRDefault="00F01199" w:rsidP="00F01199">
      <w:pPr>
        <w:pStyle w:val="Heading1"/>
        <w:rPr>
          <w:color w:val="232323"/>
        </w:rPr>
      </w:pPr>
    </w:p>
    <w:p w14:paraId="2C33EC31" w14:textId="41036B62" w:rsidR="00F01199" w:rsidRDefault="00F01199" w:rsidP="00F01199">
      <w:pPr>
        <w:pStyle w:val="Heading1"/>
      </w:pPr>
      <w:r>
        <w:rPr>
          <w:color w:val="232323"/>
        </w:rPr>
        <w:t>Operating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Principles:</w:t>
      </w:r>
    </w:p>
    <w:p w14:paraId="5EF8F19C" w14:textId="77777777" w:rsidR="00F01199" w:rsidRDefault="00F01199" w:rsidP="00F01199">
      <w:pPr>
        <w:pStyle w:val="BodyText"/>
        <w:ind w:left="120" w:right="168"/>
      </w:pP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following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“operating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principles”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underlie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request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extend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BAR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treatments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out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ten years post wildfire.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Preparers should ensure that every submission gives due consideration to these operating principles and the priorities and key variables outlined below.</w:t>
      </w:r>
    </w:p>
    <w:p w14:paraId="2247067E" w14:textId="77777777" w:rsidR="00F01199" w:rsidRDefault="00F01199" w:rsidP="00F01199">
      <w:pPr>
        <w:tabs>
          <w:tab w:val="left" w:pos="840"/>
        </w:tabs>
        <w:spacing w:before="79"/>
        <w:ind w:left="840" w:right="418" w:hanging="360"/>
      </w:pPr>
    </w:p>
    <w:p w14:paraId="00168D5B" w14:textId="77777777" w:rsidR="00F01199" w:rsidRPr="00280D54" w:rsidRDefault="00F01199" w:rsidP="00F01199">
      <w:pPr>
        <w:pStyle w:val="ListParagraph"/>
        <w:numPr>
          <w:ilvl w:val="0"/>
          <w:numId w:val="3"/>
        </w:numPr>
        <w:tabs>
          <w:tab w:val="left" w:pos="840"/>
        </w:tabs>
        <w:spacing w:before="79"/>
        <w:ind w:right="418"/>
        <w:rPr>
          <w:color w:val="232323"/>
          <w:sz w:val="24"/>
        </w:rPr>
      </w:pPr>
      <w:r w:rsidRPr="00280D54">
        <w:rPr>
          <w:b/>
          <w:color w:val="232323"/>
          <w:sz w:val="24"/>
        </w:rPr>
        <w:t>These</w:t>
      </w:r>
      <w:r w:rsidRPr="00280D54">
        <w:rPr>
          <w:b/>
          <w:color w:val="232323"/>
          <w:spacing w:val="-3"/>
          <w:sz w:val="24"/>
        </w:rPr>
        <w:t xml:space="preserve"> </w:t>
      </w:r>
      <w:r w:rsidRPr="00280D54">
        <w:rPr>
          <w:b/>
          <w:color w:val="232323"/>
          <w:sz w:val="24"/>
        </w:rPr>
        <w:t>funds</w:t>
      </w:r>
      <w:r w:rsidRPr="00280D54">
        <w:rPr>
          <w:b/>
          <w:color w:val="232323"/>
          <w:spacing w:val="-2"/>
          <w:sz w:val="24"/>
        </w:rPr>
        <w:t xml:space="preserve"> </w:t>
      </w:r>
      <w:r w:rsidRPr="00280D54">
        <w:rPr>
          <w:b/>
          <w:color w:val="232323"/>
          <w:sz w:val="24"/>
        </w:rPr>
        <w:t>are</w:t>
      </w:r>
      <w:r w:rsidRPr="00280D54">
        <w:rPr>
          <w:b/>
          <w:color w:val="232323"/>
          <w:spacing w:val="-3"/>
          <w:sz w:val="24"/>
        </w:rPr>
        <w:t xml:space="preserve"> </w:t>
      </w:r>
      <w:r w:rsidRPr="00280D54">
        <w:rPr>
          <w:b/>
          <w:color w:val="232323"/>
          <w:sz w:val="24"/>
        </w:rPr>
        <w:t>not</w:t>
      </w:r>
      <w:r w:rsidRPr="00280D54">
        <w:rPr>
          <w:b/>
          <w:color w:val="232323"/>
          <w:spacing w:val="-3"/>
          <w:sz w:val="24"/>
        </w:rPr>
        <w:t xml:space="preserve"> </w:t>
      </w:r>
      <w:r w:rsidRPr="00280D54">
        <w:rPr>
          <w:b/>
          <w:color w:val="232323"/>
          <w:sz w:val="24"/>
        </w:rPr>
        <w:t>guaranteed.</w:t>
      </w:r>
      <w:r w:rsidRPr="00280D54">
        <w:rPr>
          <w:b/>
          <w:color w:val="232323"/>
          <w:spacing w:val="80"/>
          <w:sz w:val="24"/>
        </w:rPr>
        <w:t xml:space="preserve"> </w:t>
      </w:r>
      <w:r w:rsidRPr="00280D54">
        <w:rPr>
          <w:color w:val="232323"/>
          <w:sz w:val="24"/>
        </w:rPr>
        <w:t>The</w:t>
      </w:r>
      <w:r w:rsidRPr="00280D54">
        <w:rPr>
          <w:color w:val="232323"/>
          <w:spacing w:val="-3"/>
          <w:sz w:val="24"/>
        </w:rPr>
        <w:t xml:space="preserve"> </w:t>
      </w:r>
      <w:r w:rsidRPr="00280D54">
        <w:rPr>
          <w:color w:val="232323"/>
          <w:sz w:val="24"/>
        </w:rPr>
        <w:t>quantity</w:t>
      </w:r>
      <w:r w:rsidRPr="00280D54">
        <w:rPr>
          <w:color w:val="232323"/>
          <w:spacing w:val="-2"/>
          <w:sz w:val="24"/>
        </w:rPr>
        <w:t xml:space="preserve"> </w:t>
      </w:r>
      <w:r w:rsidRPr="00280D54">
        <w:rPr>
          <w:color w:val="232323"/>
          <w:sz w:val="24"/>
        </w:rPr>
        <w:t>of</w:t>
      </w:r>
      <w:r w:rsidRPr="00280D54">
        <w:rPr>
          <w:color w:val="232323"/>
          <w:spacing w:val="-3"/>
          <w:sz w:val="24"/>
        </w:rPr>
        <w:t xml:space="preserve"> </w:t>
      </w:r>
      <w:r w:rsidRPr="00280D54">
        <w:rPr>
          <w:color w:val="232323"/>
          <w:sz w:val="24"/>
        </w:rPr>
        <w:t>BIL</w:t>
      </w:r>
      <w:r w:rsidRPr="00280D54">
        <w:rPr>
          <w:color w:val="232323"/>
          <w:spacing w:val="-3"/>
          <w:sz w:val="24"/>
        </w:rPr>
        <w:t xml:space="preserve"> </w:t>
      </w:r>
      <w:r w:rsidRPr="00280D54">
        <w:rPr>
          <w:color w:val="232323"/>
          <w:sz w:val="24"/>
        </w:rPr>
        <w:t>BAR</w:t>
      </w:r>
      <w:r w:rsidRPr="00280D54">
        <w:rPr>
          <w:color w:val="232323"/>
          <w:spacing w:val="-2"/>
          <w:sz w:val="24"/>
        </w:rPr>
        <w:t xml:space="preserve"> </w:t>
      </w:r>
      <w:r w:rsidRPr="00280D54">
        <w:rPr>
          <w:color w:val="232323"/>
          <w:sz w:val="24"/>
        </w:rPr>
        <w:t>funds,</w:t>
      </w:r>
      <w:r w:rsidRPr="00280D54">
        <w:rPr>
          <w:color w:val="232323"/>
          <w:spacing w:val="-1"/>
          <w:sz w:val="24"/>
        </w:rPr>
        <w:t xml:space="preserve"> </w:t>
      </w:r>
      <w:r w:rsidRPr="00280D54">
        <w:rPr>
          <w:color w:val="232323"/>
          <w:sz w:val="24"/>
        </w:rPr>
        <w:t>and</w:t>
      </w:r>
      <w:r w:rsidRPr="00280D54">
        <w:rPr>
          <w:color w:val="232323"/>
          <w:spacing w:val="-2"/>
          <w:sz w:val="24"/>
        </w:rPr>
        <w:t xml:space="preserve"> </w:t>
      </w:r>
      <w:r w:rsidRPr="00280D54">
        <w:rPr>
          <w:color w:val="232323"/>
          <w:sz w:val="24"/>
        </w:rPr>
        <w:t>the</w:t>
      </w:r>
      <w:r w:rsidRPr="00280D54">
        <w:rPr>
          <w:color w:val="232323"/>
          <w:spacing w:val="-3"/>
          <w:sz w:val="24"/>
        </w:rPr>
        <w:t xml:space="preserve"> </w:t>
      </w:r>
      <w:r w:rsidRPr="00280D54">
        <w:rPr>
          <w:color w:val="232323"/>
          <w:sz w:val="24"/>
        </w:rPr>
        <w:t>timing</w:t>
      </w:r>
      <w:r w:rsidRPr="00280D54">
        <w:rPr>
          <w:color w:val="232323"/>
          <w:spacing w:val="-2"/>
          <w:sz w:val="24"/>
        </w:rPr>
        <w:t xml:space="preserve"> </w:t>
      </w:r>
      <w:r w:rsidRPr="00280D54">
        <w:rPr>
          <w:color w:val="232323"/>
          <w:sz w:val="24"/>
        </w:rPr>
        <w:t>of availability, will be based on the severity of wildfires and the available funding after Bureau specific BAR requests have been met.</w:t>
      </w:r>
    </w:p>
    <w:p w14:paraId="7C399EF7" w14:textId="1550C178" w:rsidR="00F01199" w:rsidRDefault="00F01199" w:rsidP="00F01199">
      <w:pPr>
        <w:pStyle w:val="ListParagraph"/>
        <w:numPr>
          <w:ilvl w:val="0"/>
          <w:numId w:val="3"/>
        </w:numPr>
        <w:tabs>
          <w:tab w:val="left" w:pos="839"/>
        </w:tabs>
        <w:ind w:left="839" w:right="322"/>
        <w:rPr>
          <w:color w:val="23232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726861" wp14:editId="249222E0">
                <wp:simplePos x="0" y="0"/>
                <wp:positionH relativeFrom="page">
                  <wp:posOffset>4529455</wp:posOffset>
                </wp:positionH>
                <wp:positionV relativeFrom="paragraph">
                  <wp:posOffset>860425</wp:posOffset>
                </wp:positionV>
                <wp:extent cx="38100" cy="7620"/>
                <wp:effectExtent l="0" t="0" r="0" b="0"/>
                <wp:wrapNone/>
                <wp:docPr id="1140535406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00" y="762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5EF0" id="Freeform: Shape 2" o:spid="_x0000_s1026" style="position:absolute;margin-left:356.65pt;margin-top:67.75pt;width:3pt;height: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u/FQIAALMEAAAOAAAAZHJzL2Uyb0RvYy54bWysVMGK2zAQvRf6D0L3xk4K28XEWcouWwrL&#10;dmGz9KzIcmwqa1SNEjt/35FsOaY9tTQHeeR5Gr95T5Pt3dBpdlYOWzAlX69yzpSRULXmWPK3/eOH&#10;W87QC1MJDUaV/KKQ3+3ev9v2tlAbaEBXyjEqYrDobckb722RZSgb1QlcgVWGkjW4TnjaumNWOdFT&#10;9U5nmzy/yXpwlXUgFSK9fRiTfBfr17WS/ltdo/JMl5y4+bi6uB7Cmu22ojg6YZtWTjTEP7DoRGvo&#10;o3OpB+EFO7n2j1JdKx0g1H4locugrlupYg/UzTr/rZvXRlgVeyFx0M4y4f8rK5/Pr/bFBepon0D+&#10;QFIk6y0WcyZscMIMtesCloizIap4mVVUg2eSXn68XecktaTMp5tNlDgTRTopT+i/KIhVxPkJ/ehA&#10;lSLRpEgOJoWOfAwO6uig54wcdJyRg4fRQSt8OBeohZD1M41mYhFSHZzVHiLIB/oT09QCsbwitFki&#10;qZ8FKuXS08ZqI2bRckqn5wi7fvQvoEnFVEpqQBWcGvudg6gBvVyqjKDb6rHVOjSO7ni4146dRRiI&#10;+AsK0pEFLPo/Wh7MP0B1eXGspykpOf48Cac4018NXcMwUilwKTikwHl9D3HwouYO/X74LpxllsKS&#10;e7oxz5AuuSjSdQhNzdhw0sDnk4e6DXclchsZTRuajNjANMVh9Jb7iLr+1+x+AQAA//8DAFBLAwQU&#10;AAYACAAAACEAroxgs+EAAAALAQAADwAAAGRycy9kb3ducmV2LnhtbEyPwU7DMBBE70j8g7VI3KgT&#10;ojQQ4lSoogIOCFFQJG5ubJIIex1sN03/nu0JjjvzNDtTrWZr2KR9GBwKSBcJMI2tUwN2Aj7eN1c3&#10;wEKUqKRxqAUcdYBVfX5WyVK5A77paRs7RiEYSimgj3EsOQ9tr60MCzdqJO/LeSsjnb7jyssDhVvD&#10;r5Nkya0ckD70ctTrXrff270V8Lx58Pj4+TKZkDfHdfxp8qfXRojLi/n+DljUc/yD4VSfqkNNnXZu&#10;jyowI6BIs4xQMrI8B0ZEkd6SsjspywJ4XfH/G+pfAAAA//8DAFBLAQItABQABgAIAAAAIQC2gziS&#10;/gAAAOEBAAATAAAAAAAAAAAAAAAAAAAAAABbQ29udGVudF9UeXBlc10ueG1sUEsBAi0AFAAGAAgA&#10;AAAhADj9If/WAAAAlAEAAAsAAAAAAAAAAAAAAAAALwEAAF9yZWxzLy5yZWxzUEsBAi0AFAAGAAgA&#10;AAAhAE7oG78VAgAAswQAAA4AAAAAAAAAAAAAAAAALgIAAGRycy9lMm9Eb2MueG1sUEsBAi0AFAAG&#10;AAgAAAAhAK6MYLPhAAAACwEAAA8AAAAAAAAAAAAAAAAAbwQAAGRycy9kb3ducmV2LnhtbFBLBQYA&#10;AAAABAAEAPMAAAB9BQAAAAA=&#10;" path="m38100,l,,,7620r38100,l38100,xe" fillcolor="black" stroked="f">
                <v:path arrowok="t"/>
                <w10:wrap anchorx="page"/>
              </v:shape>
            </w:pict>
          </mc:Fallback>
        </mc:AlternateContent>
      </w:r>
      <w:r w:rsidRPr="73D2E6A8">
        <w:rPr>
          <w:b/>
          <w:bCs/>
          <w:color w:val="232323"/>
          <w:sz w:val="24"/>
          <w:szCs w:val="24"/>
        </w:rPr>
        <w:t>BAR reporting requirements apply.</w:t>
      </w:r>
      <w:r w:rsidRPr="73D2E6A8">
        <w:rPr>
          <w:b/>
          <w:bCs/>
          <w:color w:val="232323"/>
          <w:spacing w:val="40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Approved requests must be entered into NFPORS/VMAP and agency-specific requirements for accomplishment reporting is required.</w:t>
      </w:r>
      <w:r w:rsidRPr="73D2E6A8">
        <w:rPr>
          <w:color w:val="232323"/>
          <w:spacing w:val="80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This includes providing the original BAR/ESR Plan (if available) and the development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of</w:t>
      </w:r>
      <w:r w:rsidRPr="73D2E6A8">
        <w:rPr>
          <w:color w:val="232323"/>
          <w:spacing w:val="-4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a</w:t>
      </w:r>
      <w:r w:rsidRPr="73D2E6A8">
        <w:rPr>
          <w:color w:val="232323"/>
          <w:spacing w:val="-4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BAR/ESR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Plan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and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associated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specification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color w:val="232323"/>
          <w:sz w:val="24"/>
          <w:szCs w:val="24"/>
        </w:rPr>
        <w:t>forms.</w:t>
      </w:r>
      <w:r w:rsidRPr="73D2E6A8">
        <w:rPr>
          <w:color w:val="232323"/>
          <w:spacing w:val="-3"/>
          <w:sz w:val="24"/>
          <w:szCs w:val="24"/>
        </w:rPr>
        <w:t xml:space="preserve"> </w:t>
      </w:r>
      <w:r w:rsidRPr="73D2E6A8">
        <w:rPr>
          <w:sz w:val="24"/>
          <w:szCs w:val="24"/>
        </w:rPr>
        <w:t>Please</w:t>
      </w:r>
      <w:r w:rsidRPr="73D2E6A8">
        <w:rPr>
          <w:spacing w:val="-4"/>
          <w:sz w:val="24"/>
          <w:szCs w:val="24"/>
        </w:rPr>
        <w:t xml:space="preserve"> </w:t>
      </w:r>
      <w:r w:rsidRPr="73D2E6A8">
        <w:rPr>
          <w:sz w:val="24"/>
          <w:szCs w:val="24"/>
        </w:rPr>
        <w:t>refer</w:t>
      </w:r>
      <w:r w:rsidRPr="73D2E6A8">
        <w:rPr>
          <w:spacing w:val="-4"/>
          <w:sz w:val="24"/>
          <w:szCs w:val="24"/>
        </w:rPr>
        <w:t xml:space="preserve"> </w:t>
      </w:r>
      <w:r w:rsidRPr="73D2E6A8">
        <w:rPr>
          <w:sz w:val="24"/>
          <w:szCs w:val="24"/>
        </w:rPr>
        <w:t>to</w:t>
      </w:r>
      <w:r w:rsidRPr="73D2E6A8">
        <w:rPr>
          <w:spacing w:val="-3"/>
          <w:sz w:val="24"/>
          <w:szCs w:val="24"/>
        </w:rPr>
        <w:t xml:space="preserve"> </w:t>
      </w:r>
      <w:r w:rsidRPr="73D2E6A8">
        <w:rPr>
          <w:sz w:val="24"/>
          <w:szCs w:val="24"/>
        </w:rPr>
        <w:t xml:space="preserve">the </w:t>
      </w:r>
      <w:hyperlink r:id="rId5">
        <w:r w:rsidRPr="73D2E6A8">
          <w:rPr>
            <w:color w:val="0000FF"/>
            <w:sz w:val="24"/>
            <w:szCs w:val="24"/>
            <w:u w:val="single" w:color="0000FF"/>
          </w:rPr>
          <w:t>Interagency Burned Area Rehabilitation Guidebook</w:t>
        </w:r>
      </w:hyperlink>
      <w:r w:rsidRPr="73D2E6A8">
        <w:rPr>
          <w:color w:val="0000FF"/>
          <w:sz w:val="24"/>
          <w:szCs w:val="24"/>
        </w:rPr>
        <w:t xml:space="preserve"> </w:t>
      </w:r>
      <w:r w:rsidRPr="73D2E6A8">
        <w:rPr>
          <w:sz w:val="24"/>
          <w:szCs w:val="24"/>
        </w:rPr>
        <w:t xml:space="preserve">and the </w:t>
      </w:r>
      <w:hyperlink r:id="rId6">
        <w:r w:rsidRPr="73D2E6A8">
          <w:rPr>
            <w:color w:val="0000FF"/>
            <w:sz w:val="24"/>
            <w:szCs w:val="24"/>
            <w:u w:val="single" w:color="0000FF"/>
          </w:rPr>
          <w:t xml:space="preserve"> DOI Wildland Fire</w:t>
        </w:r>
      </w:hyperlink>
      <w:r w:rsidRPr="73D2E6A8">
        <w:rPr>
          <w:color w:val="0000FF"/>
          <w:sz w:val="24"/>
          <w:szCs w:val="24"/>
        </w:rPr>
        <w:t xml:space="preserve"> </w:t>
      </w:r>
      <w:hyperlink r:id="rId7">
        <w:r w:rsidRPr="73D2E6A8">
          <w:rPr>
            <w:color w:val="0000FF"/>
            <w:sz w:val="24"/>
            <w:szCs w:val="24"/>
            <w:u w:val="single" w:color="0000FF"/>
          </w:rPr>
          <w:t>Management Policy Memo 2023-004</w:t>
        </w:r>
      </w:hyperlink>
    </w:p>
    <w:p w14:paraId="499471CD" w14:textId="77777777" w:rsidR="00F01199" w:rsidRDefault="00F01199" w:rsidP="00F01199">
      <w:pPr>
        <w:pStyle w:val="ListParagraph"/>
        <w:numPr>
          <w:ilvl w:val="0"/>
          <w:numId w:val="3"/>
        </w:numPr>
        <w:tabs>
          <w:tab w:val="left" w:pos="840"/>
        </w:tabs>
        <w:ind w:right="102"/>
        <w:rPr>
          <w:color w:val="232323"/>
          <w:sz w:val="24"/>
        </w:rPr>
      </w:pPr>
      <w:r>
        <w:rPr>
          <w:b/>
          <w:color w:val="232323"/>
          <w:sz w:val="24"/>
        </w:rPr>
        <w:t>Showcase</w:t>
      </w:r>
      <w:r>
        <w:rPr>
          <w:b/>
          <w:color w:val="232323"/>
          <w:spacing w:val="-5"/>
          <w:sz w:val="24"/>
        </w:rPr>
        <w:t xml:space="preserve"> </w:t>
      </w:r>
      <w:r>
        <w:rPr>
          <w:b/>
          <w:color w:val="232323"/>
          <w:sz w:val="24"/>
        </w:rPr>
        <w:t>opportunities</w:t>
      </w:r>
      <w:r>
        <w:rPr>
          <w:color w:val="232323"/>
          <w:sz w:val="24"/>
        </w:rPr>
        <w:t>.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Be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prepared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share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lessons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learned,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accomplishments,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stories, and pictures of progress.</w:t>
      </w:r>
    </w:p>
    <w:p w14:paraId="5EDEA7B4" w14:textId="77777777" w:rsidR="00F01199" w:rsidRDefault="00F01199" w:rsidP="00F01199">
      <w:pPr>
        <w:pStyle w:val="ListParagraph"/>
        <w:numPr>
          <w:ilvl w:val="0"/>
          <w:numId w:val="3"/>
        </w:numPr>
        <w:tabs>
          <w:tab w:val="left" w:pos="839"/>
        </w:tabs>
        <w:ind w:left="839" w:right="330"/>
        <w:rPr>
          <w:color w:val="232323"/>
          <w:sz w:val="24"/>
        </w:rPr>
      </w:pPr>
      <w:r>
        <w:rPr>
          <w:b/>
          <w:color w:val="232323"/>
          <w:sz w:val="24"/>
        </w:rPr>
        <w:t>Be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creative.</w:t>
      </w:r>
      <w:r>
        <w:rPr>
          <w:b/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guidelines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provided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below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are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deliberately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open-ended.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intent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is to encourage communication and creativity to help DOI federal lands that have been impacted by fire, or is likely to be impacted by fire, to reach land management goals. Bureaus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are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encouraged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take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actions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that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would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prevent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further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deterioration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areas impacted by wildfire.</w:t>
      </w:r>
    </w:p>
    <w:p w14:paraId="1ED48341" w14:textId="77777777" w:rsidR="00F01199" w:rsidRDefault="00F01199" w:rsidP="00F01199">
      <w:pPr>
        <w:pStyle w:val="ListParagraph"/>
        <w:numPr>
          <w:ilvl w:val="0"/>
          <w:numId w:val="3"/>
        </w:numPr>
        <w:tabs>
          <w:tab w:val="left" w:pos="839"/>
        </w:tabs>
        <w:ind w:left="839" w:right="205"/>
        <w:rPr>
          <w:color w:val="232323"/>
          <w:sz w:val="24"/>
        </w:rPr>
      </w:pPr>
      <w:r>
        <w:rPr>
          <w:b/>
          <w:sz w:val="24"/>
        </w:rPr>
        <w:t>Obligation of Funds in FY requested.</w:t>
      </w:r>
      <w:r>
        <w:rPr>
          <w:b/>
          <w:spacing w:val="40"/>
          <w:sz w:val="24"/>
        </w:rPr>
        <w:t xml:space="preserve"> </w:t>
      </w:r>
      <w:r>
        <w:rPr>
          <w:color w:val="232323"/>
          <w:sz w:val="24"/>
        </w:rPr>
        <w:t>Field units must be able to be obligate or expend funds within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FY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that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they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are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received.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Treatments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and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activities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must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completed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within three years of allocation, or up to the ten-year post-fire window, whichever is shorter.</w:t>
      </w:r>
    </w:p>
    <w:p w14:paraId="59BC0670" w14:textId="77777777" w:rsidR="00F01199" w:rsidRDefault="00F01199" w:rsidP="00F01199">
      <w:pPr>
        <w:pStyle w:val="ListParagraph"/>
        <w:numPr>
          <w:ilvl w:val="0"/>
          <w:numId w:val="3"/>
        </w:numPr>
        <w:tabs>
          <w:tab w:val="left" w:pos="840"/>
        </w:tabs>
        <w:ind w:right="100"/>
        <w:rPr>
          <w:sz w:val="24"/>
        </w:rPr>
      </w:pPr>
      <w:r>
        <w:rPr>
          <w:b/>
          <w:color w:val="232323"/>
          <w:sz w:val="24"/>
        </w:rPr>
        <w:t xml:space="preserve">Coordinate with </w:t>
      </w:r>
      <w:r>
        <w:rPr>
          <w:b/>
          <w:sz w:val="24"/>
        </w:rPr>
        <w:t>home unit staff and across boundaries.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BAR plans that demonstrate collaboration between interdisciplinary staff (e.g., Fire Management/Fuels, Natural Resource and Cultural Resource staff) and/or across agency boundaries where there is a benefit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DOI</w:t>
      </w:r>
      <w:r>
        <w:rPr>
          <w:spacing w:val="-8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4"/>
          <w:sz w:val="24"/>
        </w:rPr>
        <w:t xml:space="preserve"> </w:t>
      </w:r>
      <w:r>
        <w:rPr>
          <w:sz w:val="24"/>
        </w:rPr>
        <w:t>achieving desired conditions will be prioritized.</w:t>
      </w:r>
    </w:p>
    <w:p w14:paraId="1D4FEEE0" w14:textId="77777777" w:rsidR="00F01199" w:rsidRDefault="00F01199" w:rsidP="00F01199">
      <w:pPr>
        <w:pStyle w:val="ListParagraph"/>
        <w:numPr>
          <w:ilvl w:val="0"/>
          <w:numId w:val="2"/>
        </w:numPr>
        <w:tabs>
          <w:tab w:val="left" w:pos="840"/>
        </w:tabs>
        <w:ind w:right="141"/>
        <w:rPr>
          <w:sz w:val="24"/>
        </w:rPr>
      </w:pPr>
      <w:r>
        <w:rPr>
          <w:b/>
          <w:sz w:val="24"/>
        </w:rPr>
        <w:t>Science.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Projects that are implemented using a spatially based prioritization strategy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color w:val="0562C1"/>
          <w:sz w:val="24"/>
          <w:u w:val="single" w:color="0562C1"/>
        </w:rPr>
        <w:t>RAD</w:t>
      </w:r>
      <w:r>
        <w:rPr>
          <w:color w:val="0562C1"/>
          <w:spacing w:val="-3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Framework</w:t>
      </w:r>
      <w:r>
        <w:rPr>
          <w:color w:val="0562C1"/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color w:val="0562C1"/>
          <w:sz w:val="24"/>
          <w:u w:val="single" w:color="0562C1"/>
        </w:rPr>
        <w:t>Sagebrush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Conservation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Design</w:t>
      </w:r>
      <w:r>
        <w:rPr>
          <w:color w:val="0562C1"/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investments will be a higher priority.</w:t>
      </w:r>
    </w:p>
    <w:p w14:paraId="1E8BC857" w14:textId="77777777" w:rsidR="00F01199" w:rsidRDefault="00F01199" w:rsidP="00F01199">
      <w:pPr>
        <w:pStyle w:val="BodyText"/>
        <w:spacing w:before="180"/>
      </w:pPr>
    </w:p>
    <w:p w14:paraId="73917796" w14:textId="0DFC8CE5" w:rsidR="00F01199" w:rsidRPr="00CA2A74" w:rsidRDefault="00F01199" w:rsidP="00F01199">
      <w:pPr>
        <w:pStyle w:val="BodyText"/>
        <w:spacing w:line="261" w:lineRule="auto"/>
        <w:ind w:left="120" w:right="168"/>
        <w:rPr>
          <w:color w:val="232323"/>
        </w:rPr>
      </w:pPr>
      <w:r>
        <w:rPr>
          <w:color w:val="232323"/>
        </w:rPr>
        <w:t>Proposals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greater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$1,000,000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prioritized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DOI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National</w:t>
      </w:r>
      <w:r>
        <w:rPr>
          <w:color w:val="232323"/>
          <w:spacing w:val="-3"/>
        </w:rPr>
        <w:t xml:space="preserve"> </w:t>
      </w:r>
      <w:r w:rsidR="00943465">
        <w:rPr>
          <w:color w:val="232323"/>
        </w:rPr>
        <w:t>Post Wildfire Recovery</w:t>
      </w:r>
      <w:r>
        <w:rPr>
          <w:color w:val="232323"/>
        </w:rPr>
        <w:t xml:space="preserve"> </w:t>
      </w:r>
      <w:r w:rsidR="00943465">
        <w:rPr>
          <w:color w:val="232323"/>
        </w:rPr>
        <w:t xml:space="preserve">(PWR) </w:t>
      </w:r>
      <w:r>
        <w:rPr>
          <w:color w:val="232323"/>
        </w:rPr>
        <w:t>Coordinators based on criteria above between May 31</w:t>
      </w:r>
      <w:r w:rsidRPr="00CA2A74">
        <w:rPr>
          <w:color w:val="232323"/>
          <w:vertAlign w:val="superscript"/>
        </w:rPr>
        <w:t>st</w:t>
      </w:r>
      <w:r>
        <w:rPr>
          <w:color w:val="232323"/>
        </w:rPr>
        <w:t xml:space="preserve"> and July 31</w:t>
      </w:r>
      <w:r w:rsidRPr="00235043">
        <w:rPr>
          <w:color w:val="232323"/>
          <w:vertAlign w:val="superscript"/>
        </w:rPr>
        <w:t>st</w:t>
      </w:r>
      <w:r>
        <w:rPr>
          <w:color w:val="232323"/>
        </w:rPr>
        <w:t>.</w:t>
      </w:r>
    </w:p>
    <w:p w14:paraId="2EA5A85C" w14:textId="179A349C" w:rsidR="00F01199" w:rsidRDefault="00F01199" w:rsidP="00F01199">
      <w:pPr>
        <w:pStyle w:val="BodyText"/>
        <w:spacing w:before="155" w:line="259" w:lineRule="auto"/>
        <w:ind w:left="120" w:right="168"/>
      </w:pPr>
      <w:r>
        <w:rPr>
          <w:color w:val="232323"/>
        </w:rPr>
        <w:t>Proposals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less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than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$1,000,000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available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Bureau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allocations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approved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the DOI Bureau </w:t>
      </w:r>
      <w:r w:rsidR="00943465">
        <w:rPr>
          <w:color w:val="232323"/>
        </w:rPr>
        <w:t>PWR</w:t>
      </w:r>
      <w:r>
        <w:rPr>
          <w:color w:val="232323"/>
        </w:rPr>
        <w:t xml:space="preserve"> Coordinators based on the criteria above at any time.</w:t>
      </w:r>
    </w:p>
    <w:p w14:paraId="2438966F" w14:textId="77777777" w:rsidR="00F01199" w:rsidRDefault="00F01199" w:rsidP="00F01199">
      <w:pPr>
        <w:spacing w:before="160"/>
        <w:ind w:left="120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Variables/Ranking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Criteria:</w:t>
      </w:r>
    </w:p>
    <w:p w14:paraId="29EFDEF7" w14:textId="77777777" w:rsidR="00F01199" w:rsidRDefault="00F01199" w:rsidP="00F01199">
      <w:pPr>
        <w:pStyle w:val="BodyText"/>
        <w:rPr>
          <w:b/>
        </w:rPr>
      </w:pPr>
    </w:p>
    <w:p w14:paraId="72497DDF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sz w:val="20"/>
        </w:rPr>
      </w:pP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resource;</w:t>
      </w:r>
      <w:proofErr w:type="gramEnd"/>
    </w:p>
    <w:p w14:paraId="086ED38B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40"/>
        </w:tabs>
        <w:ind w:right="476"/>
        <w:rPr>
          <w:rFonts w:ascii="Symbol" w:hAnsi="Symbol"/>
          <w:sz w:val="20"/>
        </w:rPr>
      </w:pPr>
      <w:r>
        <w:rPr>
          <w:sz w:val="24"/>
        </w:rPr>
        <w:t>Overarching</w:t>
      </w:r>
      <w:r>
        <w:rPr>
          <w:spacing w:val="-4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long-term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goals,</w:t>
      </w:r>
      <w:r>
        <w:rPr>
          <w:spacing w:val="-2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if identified in an approved land management </w:t>
      </w:r>
      <w:proofErr w:type="gramStart"/>
      <w:r>
        <w:rPr>
          <w:sz w:val="24"/>
        </w:rPr>
        <w:t>plan;</w:t>
      </w:r>
      <w:proofErr w:type="gramEnd"/>
    </w:p>
    <w:p w14:paraId="1EB634F8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sz w:val="20"/>
        </w:rPr>
      </w:pPr>
      <w:r>
        <w:rPr>
          <w:sz w:val="24"/>
        </w:rPr>
        <w:t>Prospect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goals;</w:t>
      </w:r>
      <w:proofErr w:type="gramEnd"/>
    </w:p>
    <w:p w14:paraId="4F1ACDC8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sz w:val="20"/>
        </w:rPr>
      </w:pPr>
      <w:r>
        <w:rPr>
          <w:sz w:val="24"/>
        </w:rPr>
        <w:lastRenderedPageBreak/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2"/>
          <w:sz w:val="24"/>
        </w:rPr>
        <w:t xml:space="preserve"> </w:t>
      </w:r>
      <w:r>
        <w:rPr>
          <w:sz w:val="24"/>
        </w:rPr>
        <w:t>funding,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</w:t>
      </w:r>
      <w:proofErr w:type="gramStart"/>
      <w:r>
        <w:rPr>
          <w:spacing w:val="-2"/>
          <w:sz w:val="24"/>
        </w:rPr>
        <w:t>);</w:t>
      </w:r>
      <w:proofErr w:type="gramEnd"/>
    </w:p>
    <w:p w14:paraId="52555AA1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40"/>
        </w:tabs>
        <w:ind w:right="714"/>
        <w:rPr>
          <w:rFonts w:ascii="Symbol" w:hAnsi="Symbol"/>
          <w:sz w:val="20"/>
        </w:rPr>
      </w:pP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(e.g.,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compliance,</w:t>
      </w:r>
      <w:r>
        <w:rPr>
          <w:spacing w:val="-5"/>
          <w:sz w:val="24"/>
        </w:rPr>
        <w:t xml:space="preserve"> </w:t>
      </w:r>
      <w:r>
        <w:rPr>
          <w:sz w:val="24"/>
        </w:rPr>
        <w:t>hiring</w:t>
      </w:r>
      <w:r>
        <w:rPr>
          <w:spacing w:val="-5"/>
          <w:sz w:val="24"/>
        </w:rPr>
        <w:t xml:space="preserve"> </w:t>
      </w:r>
      <w:r>
        <w:rPr>
          <w:sz w:val="24"/>
        </w:rPr>
        <w:t>and contracting constraints, housing, etc.</w:t>
      </w:r>
      <w:proofErr w:type="gramStart"/>
      <w:r>
        <w:rPr>
          <w:sz w:val="24"/>
        </w:rPr>
        <w:t>);</w:t>
      </w:r>
      <w:proofErr w:type="gramEnd"/>
    </w:p>
    <w:p w14:paraId="2F82BEB0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sz w:val="20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treatment(s)</w:t>
      </w:r>
      <w:r>
        <w:rPr>
          <w:spacing w:val="-1"/>
          <w:sz w:val="24"/>
        </w:rPr>
        <w:t xml:space="preserve"> </w:t>
      </w:r>
      <w:r>
        <w:rPr>
          <w:sz w:val="24"/>
        </w:rPr>
        <w:t>was/were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successful;</w:t>
      </w:r>
      <w:proofErr w:type="gramEnd"/>
    </w:p>
    <w:p w14:paraId="45DA2481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sz w:val="20"/>
        </w:rPr>
      </w:pPr>
      <w:r>
        <w:rPr>
          <w:sz w:val="24"/>
        </w:rPr>
        <w:t>Leveraging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in-kind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pacing w:val="-2"/>
          <w:sz w:val="24"/>
        </w:rPr>
        <w:t>funding;</w:t>
      </w:r>
      <w:proofErr w:type="gramEnd"/>
    </w:p>
    <w:p w14:paraId="5CB7360A" w14:textId="77777777" w:rsidR="00F01199" w:rsidRDefault="00F01199" w:rsidP="00F01199">
      <w:pPr>
        <w:rPr>
          <w:rFonts w:ascii="Symbol" w:hAnsi="Symbol"/>
          <w:sz w:val="20"/>
        </w:rPr>
        <w:sectPr w:rsidR="00F01199" w:rsidSect="00F01199">
          <w:pgSz w:w="12240" w:h="15840"/>
          <w:pgMar w:top="1360" w:right="1340" w:bottom="280" w:left="1320" w:header="720" w:footer="720" w:gutter="0"/>
          <w:cols w:space="720"/>
        </w:sectPr>
      </w:pPr>
    </w:p>
    <w:p w14:paraId="7BA0FAEA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40"/>
        </w:tabs>
        <w:spacing w:before="79"/>
        <w:ind w:right="432"/>
        <w:rPr>
          <w:rFonts w:ascii="Symbol" w:hAnsi="Symbol"/>
          <w:sz w:val="20"/>
        </w:rPr>
      </w:pPr>
      <w:r>
        <w:rPr>
          <w:sz w:val="24"/>
        </w:rPr>
        <w:lastRenderedPageBreak/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 wildfire area after post-wildfire BIL BAR funding expires.</w:t>
      </w:r>
    </w:p>
    <w:p w14:paraId="69C6E8AD" w14:textId="77777777" w:rsidR="00F01199" w:rsidRDefault="00F01199" w:rsidP="00F01199">
      <w:pPr>
        <w:pStyle w:val="BodyText"/>
      </w:pPr>
    </w:p>
    <w:p w14:paraId="0ED936DA" w14:textId="77777777" w:rsidR="00F01199" w:rsidRDefault="00F01199" w:rsidP="00F01199">
      <w:pPr>
        <w:pStyle w:val="BodyText"/>
        <w:spacing w:before="5"/>
      </w:pPr>
    </w:p>
    <w:p w14:paraId="3E1A024B" w14:textId="77777777" w:rsidR="00F01199" w:rsidRDefault="00F01199" w:rsidP="00F01199">
      <w:pPr>
        <w:pStyle w:val="Heading1"/>
      </w:pPr>
      <w:r>
        <w:rPr>
          <w:color w:val="232323"/>
        </w:rPr>
        <w:t>Examples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Fundable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BIL-BAR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Requests:</w:t>
      </w:r>
    </w:p>
    <w:p w14:paraId="06D6BA76" w14:textId="77777777" w:rsidR="00F01199" w:rsidRDefault="00F01199" w:rsidP="00F01199">
      <w:pPr>
        <w:pStyle w:val="BodyText"/>
        <w:spacing w:before="2"/>
        <w:rPr>
          <w:b/>
        </w:rPr>
      </w:pPr>
    </w:p>
    <w:p w14:paraId="76BBF1B8" w14:textId="77777777" w:rsidR="00F01199" w:rsidRDefault="00F01199" w:rsidP="00F01199">
      <w:pPr>
        <w:pStyle w:val="BodyText"/>
        <w:ind w:left="119"/>
      </w:pPr>
      <w:r>
        <w:rPr>
          <w:color w:val="232323"/>
        </w:rPr>
        <w:t>Projects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wildfire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burn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scars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occurred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between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FY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2015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FY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2019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can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include the following,</w:t>
      </w:r>
    </w:p>
    <w:p w14:paraId="23350A2B" w14:textId="77777777" w:rsidR="00F01199" w:rsidRDefault="00F01199" w:rsidP="00F01199">
      <w:pPr>
        <w:pStyle w:val="BodyText"/>
        <w:spacing w:before="4"/>
      </w:pPr>
    </w:p>
    <w:p w14:paraId="44D3E3DF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1" w:line="294" w:lineRule="exact"/>
        <w:ind w:left="947" w:hanging="352"/>
        <w:rPr>
          <w:sz w:val="24"/>
        </w:rPr>
      </w:pPr>
      <w:r>
        <w:rPr>
          <w:color w:val="232323"/>
          <w:sz w:val="24"/>
        </w:rPr>
        <w:t>Conduct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work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areas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where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BAR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treatments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were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not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pacing w:val="-2"/>
          <w:sz w:val="24"/>
        </w:rPr>
        <w:t>successful:</w:t>
      </w:r>
    </w:p>
    <w:p w14:paraId="0FD9AA19" w14:textId="77777777" w:rsidR="00F01199" w:rsidRDefault="00F01199" w:rsidP="00F01199">
      <w:pPr>
        <w:pStyle w:val="ListParagraph"/>
        <w:numPr>
          <w:ilvl w:val="3"/>
          <w:numId w:val="2"/>
        </w:numPr>
        <w:tabs>
          <w:tab w:val="left" w:pos="1559"/>
        </w:tabs>
        <w:spacing w:before="13" w:line="223" w:lineRule="auto"/>
        <w:ind w:left="1559" w:right="311"/>
        <w:rPr>
          <w:sz w:val="24"/>
        </w:rPr>
      </w:pPr>
      <w:r>
        <w:rPr>
          <w:color w:val="232323"/>
          <w:sz w:val="24"/>
        </w:rPr>
        <w:t>Strategic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testing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small-scale,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new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treatment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methodologies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and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approaches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in areas where previous efforts were not successful would be appropriate.</w:t>
      </w:r>
    </w:p>
    <w:p w14:paraId="2C5F2A85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7"/>
        <w:ind w:left="947" w:hanging="352"/>
        <w:rPr>
          <w:sz w:val="24"/>
        </w:rPr>
      </w:pPr>
      <w:r>
        <w:rPr>
          <w:color w:val="232323"/>
          <w:sz w:val="24"/>
        </w:rPr>
        <w:t>Conduct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work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that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was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previously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not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implemented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due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lack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of available</w:t>
      </w:r>
      <w:r>
        <w:rPr>
          <w:color w:val="232323"/>
          <w:spacing w:val="-2"/>
          <w:sz w:val="24"/>
        </w:rPr>
        <w:t xml:space="preserve"> funds.</w:t>
      </w:r>
    </w:p>
    <w:p w14:paraId="59EEF4F3" w14:textId="77777777" w:rsidR="00F01199" w:rsidRDefault="00F01199" w:rsidP="00F01199">
      <w:pPr>
        <w:pStyle w:val="ListParagraph"/>
        <w:numPr>
          <w:ilvl w:val="0"/>
          <w:numId w:val="1"/>
        </w:numPr>
        <w:tabs>
          <w:tab w:val="left" w:pos="1891"/>
        </w:tabs>
        <w:spacing w:before="18"/>
        <w:rPr>
          <w:sz w:val="24"/>
        </w:rPr>
      </w:pP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treatment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need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must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still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 xml:space="preserve">exist </w:t>
      </w:r>
      <w:proofErr w:type="gramStart"/>
      <w:r>
        <w:rPr>
          <w:color w:val="232323"/>
          <w:sz w:val="24"/>
        </w:rPr>
        <w:t>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result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of</w:t>
      </w:r>
      <w:proofErr w:type="gramEnd"/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pacing w:val="-2"/>
          <w:sz w:val="24"/>
        </w:rPr>
        <w:t>wildfire.</w:t>
      </w:r>
    </w:p>
    <w:p w14:paraId="3F37F6CD" w14:textId="77777777" w:rsidR="00F01199" w:rsidRDefault="00F01199" w:rsidP="00F01199">
      <w:pPr>
        <w:pStyle w:val="ListParagraph"/>
        <w:numPr>
          <w:ilvl w:val="0"/>
          <w:numId w:val="1"/>
        </w:numPr>
        <w:tabs>
          <w:tab w:val="left" w:pos="1891"/>
        </w:tabs>
        <w:spacing w:before="22" w:line="259" w:lineRule="auto"/>
        <w:ind w:right="199"/>
        <w:rPr>
          <w:sz w:val="24"/>
        </w:rPr>
      </w:pPr>
      <w:r>
        <w:rPr>
          <w:color w:val="232323"/>
          <w:sz w:val="24"/>
        </w:rPr>
        <w:t>If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work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was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previously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funded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but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not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implemented,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requestors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must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describe why work was not implemented and what is different now.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(e.g., delayed hiring due to COVID, etc.)</w:t>
      </w:r>
    </w:p>
    <w:p w14:paraId="6103FF39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3"/>
        <w:ind w:left="947" w:hanging="352"/>
        <w:rPr>
          <w:sz w:val="24"/>
        </w:rPr>
      </w:pPr>
      <w:r>
        <w:rPr>
          <w:color w:val="232323"/>
          <w:sz w:val="24"/>
        </w:rPr>
        <w:t>Invasive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plant</w:t>
      </w:r>
      <w:r>
        <w:rPr>
          <w:color w:val="232323"/>
          <w:spacing w:val="-2"/>
          <w:sz w:val="24"/>
        </w:rPr>
        <w:t xml:space="preserve"> treatments.</w:t>
      </w:r>
    </w:p>
    <w:p w14:paraId="716304FF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20"/>
        <w:ind w:left="947" w:hanging="352"/>
        <w:rPr>
          <w:sz w:val="24"/>
        </w:rPr>
      </w:pPr>
      <w:r>
        <w:rPr>
          <w:color w:val="232323"/>
          <w:sz w:val="24"/>
        </w:rPr>
        <w:t>Planting,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reseeding,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pacing w:val="-4"/>
          <w:sz w:val="24"/>
        </w:rPr>
        <w:t>etc.</w:t>
      </w:r>
    </w:p>
    <w:p w14:paraId="7EC39BED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21"/>
        <w:ind w:left="947" w:hanging="352"/>
        <w:rPr>
          <w:sz w:val="24"/>
        </w:rPr>
      </w:pPr>
      <w:r>
        <w:rPr>
          <w:color w:val="232323"/>
          <w:sz w:val="24"/>
        </w:rPr>
        <w:t>Site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preparation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facilitate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planting,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seeding,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pacing w:val="-4"/>
          <w:sz w:val="24"/>
        </w:rPr>
        <w:t>etc.</w:t>
      </w:r>
    </w:p>
    <w:p w14:paraId="3141C584" w14:textId="77777777" w:rsidR="00F01199" w:rsidRDefault="00F01199" w:rsidP="00F01199">
      <w:pPr>
        <w:pStyle w:val="ListParagraph"/>
        <w:numPr>
          <w:ilvl w:val="2"/>
          <w:numId w:val="2"/>
        </w:numPr>
        <w:tabs>
          <w:tab w:val="left" w:pos="947"/>
        </w:tabs>
        <w:spacing w:before="22" w:line="256" w:lineRule="auto"/>
        <w:ind w:left="947" w:right="113"/>
        <w:rPr>
          <w:sz w:val="24"/>
        </w:rPr>
      </w:pPr>
      <w:r>
        <w:rPr>
          <w:color w:val="232323"/>
          <w:sz w:val="24"/>
        </w:rPr>
        <w:t>Actions that would reduce harm – e.g., where current science, technology, or funding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are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not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available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for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successful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recovery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or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full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restoration,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but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ecological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harm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could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 reduced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through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actions such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treatment and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replacement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noxious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weeds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with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less harmful non-native species.</w:t>
      </w:r>
    </w:p>
    <w:p w14:paraId="43431A84" w14:textId="77777777" w:rsidR="00F01199" w:rsidRDefault="00F01199" w:rsidP="00F01199">
      <w:pPr>
        <w:pStyle w:val="BodyText"/>
        <w:spacing w:before="5"/>
      </w:pPr>
    </w:p>
    <w:p w14:paraId="005D1153" w14:textId="77777777" w:rsidR="00F01199" w:rsidRDefault="00F01199" w:rsidP="00F01199">
      <w:pPr>
        <w:pStyle w:val="Heading1"/>
      </w:pPr>
      <w:r>
        <w:rPr>
          <w:color w:val="232323"/>
        </w:rPr>
        <w:t>Examples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4"/>
        </w:rPr>
        <w:t xml:space="preserve"> </w:t>
      </w:r>
      <w:r>
        <w:rPr>
          <w:color w:val="232323"/>
          <w:u w:val="single" w:color="232323"/>
        </w:rPr>
        <w:t>Ineligible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BIL-BAR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Requests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wildfires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occurred within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5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10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 xml:space="preserve">years </w:t>
      </w:r>
      <w:r>
        <w:rPr>
          <w:color w:val="232323"/>
          <w:spacing w:val="-4"/>
        </w:rPr>
        <w:t>ago:</w:t>
      </w:r>
    </w:p>
    <w:p w14:paraId="0D6E48B0" w14:textId="77777777" w:rsidR="00F01199" w:rsidRDefault="00F01199" w:rsidP="00F01199">
      <w:pPr>
        <w:pStyle w:val="BodyText"/>
        <w:spacing w:before="2"/>
        <w:rPr>
          <w:b/>
        </w:rPr>
      </w:pPr>
    </w:p>
    <w:p w14:paraId="5AE74FDE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Hardening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infrastructure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(e.g.,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upsizing culverts or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improving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pacing w:val="-2"/>
          <w:sz w:val="24"/>
        </w:rPr>
        <w:t>roadways).</w:t>
      </w:r>
    </w:p>
    <w:p w14:paraId="76EFEE3D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spacing w:before="20"/>
        <w:ind w:left="839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Minor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asset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pacing w:val="-2"/>
          <w:sz w:val="24"/>
        </w:rPr>
        <w:t>replacement.</w:t>
      </w:r>
    </w:p>
    <w:p w14:paraId="6D939078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spacing w:before="21"/>
        <w:ind w:left="839" w:hanging="359"/>
        <w:rPr>
          <w:rFonts w:ascii="Symbol" w:hAnsi="Symbol"/>
          <w:color w:val="232323"/>
        </w:rPr>
      </w:pPr>
      <w:r>
        <w:rPr>
          <w:color w:val="232323"/>
          <w:sz w:val="24"/>
        </w:rPr>
        <w:t>Widespread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retreatment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areas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that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previously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failed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are</w:t>
      </w:r>
      <w:r>
        <w:rPr>
          <w:color w:val="232323"/>
          <w:spacing w:val="-2"/>
          <w:sz w:val="24"/>
        </w:rPr>
        <w:t xml:space="preserve"> </w:t>
      </w:r>
      <w:r>
        <w:rPr>
          <w:i/>
          <w:color w:val="232323"/>
          <w:sz w:val="24"/>
          <w:u w:val="single" w:color="232323"/>
        </w:rPr>
        <w:t>not</w:t>
      </w:r>
      <w:r>
        <w:rPr>
          <w:i/>
          <w:color w:val="232323"/>
          <w:spacing w:val="-1"/>
          <w:sz w:val="24"/>
        </w:rPr>
        <w:t xml:space="preserve"> </w:t>
      </w:r>
      <w:r>
        <w:rPr>
          <w:color w:val="232323"/>
          <w:spacing w:val="-2"/>
          <w:sz w:val="24"/>
        </w:rPr>
        <w:t>appropriate.</w:t>
      </w:r>
    </w:p>
    <w:p w14:paraId="511A449A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spacing w:before="24"/>
        <w:ind w:left="839" w:hanging="359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Fires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more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recent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than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five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years should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use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existing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BAR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 xml:space="preserve">request </w:t>
      </w:r>
      <w:r>
        <w:rPr>
          <w:color w:val="232323"/>
          <w:spacing w:val="-2"/>
          <w:sz w:val="24"/>
        </w:rPr>
        <w:t>process.</w:t>
      </w:r>
    </w:p>
    <w:p w14:paraId="77C6AF45" w14:textId="77777777" w:rsidR="00F01199" w:rsidRDefault="00F01199" w:rsidP="00F01199">
      <w:pPr>
        <w:pStyle w:val="BodyText"/>
        <w:spacing w:before="18"/>
      </w:pPr>
    </w:p>
    <w:p w14:paraId="1C3ED66A" w14:textId="77777777" w:rsidR="00F01199" w:rsidRDefault="00F01199" w:rsidP="00F01199">
      <w:pPr>
        <w:pStyle w:val="Heading1"/>
      </w:pPr>
      <w:r>
        <w:rPr>
          <w:color w:val="232323"/>
        </w:rPr>
        <w:t>How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2"/>
        </w:rPr>
        <w:t>Apply:</w:t>
      </w:r>
    </w:p>
    <w:p w14:paraId="31B46D29" w14:textId="77777777" w:rsidR="00F01199" w:rsidRDefault="00F01199" w:rsidP="00F01199">
      <w:pPr>
        <w:pStyle w:val="BodyText"/>
        <w:spacing w:before="5"/>
        <w:rPr>
          <w:b/>
        </w:rPr>
      </w:pPr>
    </w:p>
    <w:p w14:paraId="71CC90C3" w14:textId="77777777" w:rsidR="00F01199" w:rsidRDefault="00F01199" w:rsidP="00F01199">
      <w:pPr>
        <w:pStyle w:val="BodyText"/>
        <w:ind w:left="120"/>
      </w:pPr>
      <w:r>
        <w:rPr>
          <w:color w:val="232323"/>
        </w:rPr>
        <w:t>Bureaus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follow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existing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protocols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apply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extended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BIL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BAR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funds.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includes providing a BAR Plan with the associated specification forms.</w:t>
      </w:r>
    </w:p>
    <w:p w14:paraId="4FDA84FF" w14:textId="77777777" w:rsidR="00F01199" w:rsidRDefault="00F01199" w:rsidP="00F01199">
      <w:pPr>
        <w:pStyle w:val="BodyText"/>
        <w:spacing w:before="2"/>
      </w:pPr>
    </w:p>
    <w:p w14:paraId="0D2D03BB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40"/>
        </w:tabs>
        <w:ind w:right="517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If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BAER/BAR/ESR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plan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was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previously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developed,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please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submit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plan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with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 extended BAR/ESR Plan and associated specification forms or follow your agency specific guidance provided with this announcement.</w:t>
      </w:r>
    </w:p>
    <w:p w14:paraId="12F4CF4A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39"/>
        </w:tabs>
        <w:spacing w:line="293" w:lineRule="exact"/>
        <w:ind w:left="839" w:hanging="359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If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BAER/BAR/ESR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plan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was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not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developed,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the project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may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still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be</w:t>
      </w:r>
      <w:r>
        <w:rPr>
          <w:color w:val="232323"/>
          <w:spacing w:val="-2"/>
          <w:sz w:val="24"/>
        </w:rPr>
        <w:t xml:space="preserve"> eligible. Consult</w:t>
      </w:r>
      <w:r w:rsidRPr="003A090C">
        <w:rPr>
          <w:color w:val="232323"/>
          <w:spacing w:val="-2"/>
          <w:sz w:val="24"/>
        </w:rPr>
        <w:t xml:space="preserve"> with your Bureau Post Wildfire Coordinator</w:t>
      </w:r>
      <w:r>
        <w:rPr>
          <w:color w:val="232323"/>
          <w:spacing w:val="-2"/>
          <w:sz w:val="24"/>
        </w:rPr>
        <w:t xml:space="preserve"> prior to submitting the plan.</w:t>
      </w:r>
    </w:p>
    <w:p w14:paraId="54C0FFC1" w14:textId="77777777" w:rsidR="00F01199" w:rsidRDefault="00F01199" w:rsidP="00F01199">
      <w:pPr>
        <w:pStyle w:val="ListParagraph"/>
        <w:numPr>
          <w:ilvl w:val="1"/>
          <w:numId w:val="2"/>
        </w:numPr>
        <w:tabs>
          <w:tab w:val="left" w:pos="840"/>
        </w:tabs>
        <w:spacing w:before="4" w:line="254" w:lineRule="auto"/>
        <w:ind w:right="438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Project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reporting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must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completed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according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DOI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Burned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Area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Rehabilitation Guidebook or your agency specific guidance.</w:t>
      </w:r>
    </w:p>
    <w:p w14:paraId="0B207FF5" w14:textId="01E094BC" w:rsidR="00F01199" w:rsidRDefault="00F01199" w:rsidP="00F01199">
      <w:pPr>
        <w:pStyle w:val="BodyText"/>
        <w:spacing w:before="166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FABA14" wp14:editId="0838B0BA">
                <wp:simplePos x="0" y="0"/>
                <wp:positionH relativeFrom="page">
                  <wp:posOffset>3858895</wp:posOffset>
                </wp:positionH>
                <wp:positionV relativeFrom="paragraph">
                  <wp:posOffset>264795</wp:posOffset>
                </wp:positionV>
                <wp:extent cx="1341120" cy="7620"/>
                <wp:effectExtent l="0" t="0" r="0" b="0"/>
                <wp:wrapNone/>
                <wp:docPr id="275940052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1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1120" h="7620">
                              <a:moveTo>
                                <a:pt x="134111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341119" y="7620"/>
                              </a:lnTo>
                              <a:lnTo>
                                <a:pt x="1341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5EA7" id="Freeform: Shape 1" o:spid="_x0000_s1026" style="position:absolute;margin-left:303.85pt;margin-top:20.85pt;width:105.6pt;height: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11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BkHAIAAL0EAAAOAAAAZHJzL2Uyb0RvYy54bWysVFFr2zAQfh/sPwi9L47T0a0mThktHYPS&#10;FZqxZ0WWYzNZp52U2Pn3O8mWa7anjRGQT75P5+/77pTt7dBpdlboWjAlz1drzpSRULXmWPJv+4d3&#10;HzlzXphKaDCq5Bfl+O3u7Zttbwu1gQZ0pZBREeOK3pa88d4WWeZkozrhVmCVoWQN2AlPWzxmFYqe&#10;qnc626zX11kPWFkEqZyjt/djku9i/bpW0n+ta6c80yUnbj6uGNdDWLPdVhRHFLZp5URD/AOLTrSG&#10;PjqXuhdesBO2f5TqWongoPYrCV0Gdd1KFTWQmnz9m5qXRlgVtZA5zs42uf9XVj6dX+wzBurOPoL8&#10;4ciRrLeumDNh4ybMUGMXsEScDdHFy+yiGjyT9DK/ep/nGzJbUu7DNUWhpCjSWXly/rOCWEecH50f&#10;e1ClSDQpkoNJIVInQw917KHnjHqInFEPD2MPrfDhXCAXQtYviDQTj5Ds4Kz2EGE+SIhs8xvOkhBi&#10;+orRZoklTQtUyqWnjfVGzEJ2SqfnCFt+9q/Ayc1UTmpwajQ46I5Oz16QlqXbDnRbPbRaB/kOj4c7&#10;jewsyNbNVfhNjVrA4iSMzQ9jcIDq8oysp/tScvfzJFBxpr8YGshwuVKAKTikAL2+g3gFo/Po/H74&#10;LtAyS2HJPc3OE6RxF0UaC+IfACM2nDTw6eShbsPMRG4jo2lDdyTqn+5zuITLfUS9/uvsfgEAAP//&#10;AwBQSwMEFAAGAAgAAAAhADXO5M/eAAAACQEAAA8AAABkcnMvZG93bnJldi54bWxMj91KxEAMRu8F&#10;32GI4J077Srbbu10EUGUFZSuPkC2E9ti54fOtFvf3njlXoUkhy8n5W4xg5hpDL2zCtJVAoJs43Rv&#10;WwWfH083OYgQ0WocnCUFPxRgV11elFhod7I1zYfYCg6xoUAFXYy+kDI0HRkMK+fJ8u7LjQYjt2Mr&#10;9YgnDjeDXCfJRhrsLV/o0NNjR833YTIKXkk+7zPzfuuCe6tfcPb7evJKXV8tD/cgIi3xH4Y/fVaH&#10;ip2ObrI6iEHBJskyRhXcpVwZyNN8C+LIg/UWZFXK8w+qXwAAAP//AwBQSwECLQAUAAYACAAAACEA&#10;toM4kv4AAADhAQAAEwAAAAAAAAAAAAAAAAAAAAAAW0NvbnRlbnRfVHlwZXNdLnhtbFBLAQItABQA&#10;BgAIAAAAIQA4/SH/1gAAAJQBAAALAAAAAAAAAAAAAAAAAC8BAABfcmVscy8ucmVsc1BLAQItABQA&#10;BgAIAAAAIQBsi4BkHAIAAL0EAAAOAAAAAAAAAAAAAAAAAC4CAABkcnMvZTJvRG9jLnhtbFBLAQIt&#10;ABQABgAIAAAAIQA1zuTP3gAAAAkBAAAPAAAAAAAAAAAAAAAAAHYEAABkcnMvZG93bnJldi54bWxQ&#10;SwUGAAAAAAQABADzAAAAgQUAAAAA&#10;" path="m1341119,l,,,7620r1341119,l1341119,xe" fillcolor="#232323" stroked="f">
                <v:path arrowok="t"/>
                <w10:wrap anchorx="page"/>
              </v:shape>
            </w:pict>
          </mc:Fallback>
        </mc:AlternateContent>
      </w:r>
      <w:r>
        <w:rPr>
          <w:color w:val="232323"/>
        </w:rPr>
        <w:t>Due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Date for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proposals:</w:t>
      </w:r>
      <w:r>
        <w:rPr>
          <w:color w:val="232323"/>
          <w:spacing w:val="28"/>
        </w:rPr>
        <w:t xml:space="preserve">  </w:t>
      </w:r>
      <w:r>
        <w:rPr>
          <w:color w:val="232323"/>
        </w:rPr>
        <w:t>May 31</w:t>
      </w:r>
      <w:r w:rsidRPr="00235043">
        <w:rPr>
          <w:color w:val="232323"/>
          <w:vertAlign w:val="superscript"/>
        </w:rPr>
        <w:t>st</w:t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2"/>
        </w:rPr>
        <w:t>2024.</w:t>
      </w:r>
    </w:p>
    <w:p w14:paraId="3C4C5263" w14:textId="77777777" w:rsidR="003177BC" w:rsidRDefault="003177BC"/>
    <w:sectPr w:rsidR="003177BC" w:rsidSect="00F01199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327"/>
    <w:multiLevelType w:val="hybridMultilevel"/>
    <w:tmpl w:val="554CD1AA"/>
    <w:lvl w:ilvl="0" w:tplc="16D678F0">
      <w:start w:val="1"/>
      <w:numFmt w:val="decimal"/>
      <w:lvlText w:val="%1."/>
      <w:lvlJc w:val="left"/>
      <w:pPr>
        <w:ind w:left="840" w:hanging="360"/>
      </w:pPr>
      <w:rPr>
        <w:rFonts w:hint="default"/>
        <w:spacing w:val="0"/>
        <w:w w:val="100"/>
        <w:lang w:val="en-US" w:eastAsia="en-US" w:bidi="ar-SA"/>
      </w:rPr>
    </w:lvl>
    <w:lvl w:ilvl="1" w:tplc="FEB61D4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C96005C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EACE27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09274A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D82250D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87AE57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77E232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9800E67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AB7012"/>
    <w:multiLevelType w:val="hybridMultilevel"/>
    <w:tmpl w:val="414E9C32"/>
    <w:lvl w:ilvl="0" w:tplc="CB6C992E">
      <w:start w:val="6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0"/>
        <w:w w:val="100"/>
        <w:sz w:val="24"/>
        <w:szCs w:val="24"/>
        <w:lang w:val="en-US" w:eastAsia="en-US" w:bidi="ar-SA"/>
      </w:rPr>
    </w:lvl>
    <w:lvl w:ilvl="1" w:tplc="F1981B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F03AA3E0">
      <w:numFmt w:val="bullet"/>
      <w:lvlText w:val=""/>
      <w:lvlJc w:val="left"/>
      <w:pPr>
        <w:ind w:left="948" w:hanging="353"/>
      </w:pPr>
      <w:rPr>
        <w:rFonts w:ascii="Symbol" w:eastAsia="Symbol" w:hAnsi="Symbol" w:cs="Symbol" w:hint="default"/>
        <w:b w:val="0"/>
        <w:bCs w:val="0"/>
        <w:i w:val="0"/>
        <w:iCs w:val="0"/>
        <w:color w:val="232323"/>
        <w:spacing w:val="0"/>
        <w:w w:val="100"/>
        <w:sz w:val="24"/>
        <w:szCs w:val="24"/>
        <w:lang w:val="en-US" w:eastAsia="en-US" w:bidi="ar-SA"/>
      </w:rPr>
    </w:lvl>
    <w:lvl w:ilvl="3" w:tplc="7B5C0EA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2323"/>
        <w:spacing w:val="0"/>
        <w:w w:val="100"/>
        <w:sz w:val="24"/>
        <w:szCs w:val="24"/>
        <w:lang w:val="en-US" w:eastAsia="en-US" w:bidi="ar-SA"/>
      </w:rPr>
    </w:lvl>
    <w:lvl w:ilvl="4" w:tplc="A5789E26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7F987BC4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 w:tplc="A250749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45809A7C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 w:tplc="EC32D094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B64F99"/>
    <w:multiLevelType w:val="hybridMultilevel"/>
    <w:tmpl w:val="C542F4C8"/>
    <w:lvl w:ilvl="0" w:tplc="303E14B0">
      <w:numFmt w:val="bullet"/>
      <w:lvlText w:val="•"/>
      <w:lvlJc w:val="left"/>
      <w:pPr>
        <w:ind w:left="189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0"/>
        <w:w w:val="100"/>
        <w:sz w:val="24"/>
        <w:szCs w:val="24"/>
        <w:lang w:val="en-US" w:eastAsia="en-US" w:bidi="ar-SA"/>
      </w:rPr>
    </w:lvl>
    <w:lvl w:ilvl="1" w:tplc="E6DC3912">
      <w:numFmt w:val="bullet"/>
      <w:lvlText w:val="•"/>
      <w:lvlJc w:val="left"/>
      <w:pPr>
        <w:ind w:left="2668" w:hanging="356"/>
      </w:pPr>
      <w:rPr>
        <w:rFonts w:hint="default"/>
        <w:lang w:val="en-US" w:eastAsia="en-US" w:bidi="ar-SA"/>
      </w:rPr>
    </w:lvl>
    <w:lvl w:ilvl="2" w:tplc="C9184EEA">
      <w:numFmt w:val="bullet"/>
      <w:lvlText w:val="•"/>
      <w:lvlJc w:val="left"/>
      <w:pPr>
        <w:ind w:left="3436" w:hanging="356"/>
      </w:pPr>
      <w:rPr>
        <w:rFonts w:hint="default"/>
        <w:lang w:val="en-US" w:eastAsia="en-US" w:bidi="ar-SA"/>
      </w:rPr>
    </w:lvl>
    <w:lvl w:ilvl="3" w:tplc="CBBC7A22">
      <w:numFmt w:val="bullet"/>
      <w:lvlText w:val="•"/>
      <w:lvlJc w:val="left"/>
      <w:pPr>
        <w:ind w:left="4204" w:hanging="356"/>
      </w:pPr>
      <w:rPr>
        <w:rFonts w:hint="default"/>
        <w:lang w:val="en-US" w:eastAsia="en-US" w:bidi="ar-SA"/>
      </w:rPr>
    </w:lvl>
    <w:lvl w:ilvl="4" w:tplc="0A1064D4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ar-SA"/>
      </w:rPr>
    </w:lvl>
    <w:lvl w:ilvl="5" w:tplc="9A82D20E">
      <w:numFmt w:val="bullet"/>
      <w:lvlText w:val="•"/>
      <w:lvlJc w:val="left"/>
      <w:pPr>
        <w:ind w:left="5740" w:hanging="356"/>
      </w:pPr>
      <w:rPr>
        <w:rFonts w:hint="default"/>
        <w:lang w:val="en-US" w:eastAsia="en-US" w:bidi="ar-SA"/>
      </w:rPr>
    </w:lvl>
    <w:lvl w:ilvl="6" w:tplc="1C228336">
      <w:numFmt w:val="bullet"/>
      <w:lvlText w:val="•"/>
      <w:lvlJc w:val="left"/>
      <w:pPr>
        <w:ind w:left="6508" w:hanging="356"/>
      </w:pPr>
      <w:rPr>
        <w:rFonts w:hint="default"/>
        <w:lang w:val="en-US" w:eastAsia="en-US" w:bidi="ar-SA"/>
      </w:rPr>
    </w:lvl>
    <w:lvl w:ilvl="7" w:tplc="1EE48740">
      <w:numFmt w:val="bullet"/>
      <w:lvlText w:val="•"/>
      <w:lvlJc w:val="left"/>
      <w:pPr>
        <w:ind w:left="7276" w:hanging="356"/>
      </w:pPr>
      <w:rPr>
        <w:rFonts w:hint="default"/>
        <w:lang w:val="en-US" w:eastAsia="en-US" w:bidi="ar-SA"/>
      </w:rPr>
    </w:lvl>
    <w:lvl w:ilvl="8" w:tplc="1DC222AC">
      <w:numFmt w:val="bullet"/>
      <w:lvlText w:val="•"/>
      <w:lvlJc w:val="left"/>
      <w:pPr>
        <w:ind w:left="8044" w:hanging="356"/>
      </w:pPr>
      <w:rPr>
        <w:rFonts w:hint="default"/>
        <w:lang w:val="en-US" w:eastAsia="en-US" w:bidi="ar-SA"/>
      </w:rPr>
    </w:lvl>
  </w:abstractNum>
  <w:num w:numId="1" w16cid:durableId="1268466248">
    <w:abstractNumId w:val="2"/>
  </w:num>
  <w:num w:numId="2" w16cid:durableId="1691954548">
    <w:abstractNumId w:val="1"/>
  </w:num>
  <w:num w:numId="3" w16cid:durableId="110291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99"/>
    <w:rsid w:val="003177BC"/>
    <w:rsid w:val="008902B0"/>
    <w:rsid w:val="00943465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37BB"/>
  <w15:chartTrackingRefBased/>
  <w15:docId w15:val="{CE81E9B9-8CE7-4672-B28E-6648D9A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link w:val="Heading1Char"/>
    <w:uiPriority w:val="9"/>
    <w:qFormat/>
    <w:rsid w:val="00F01199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1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119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011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199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F01199"/>
    <w:pPr>
      <w:ind w:left="8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i.gov/sites/doi.gov/files/elips/documents/policy-memo-2023-004-wildlife-fire-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i.gov/sites/doi.gov/files/elips/documents/policy-memo-2023-004-wildlife-fire-program.pdf" TargetMode="External"/><Relationship Id="rId5" Type="http://schemas.openxmlformats.org/officeDocument/2006/relationships/hyperlink" Target="https://www.nwcg.gov/sites/default/files/partners/pwrp/pwrp-interagency-BAR-guidebo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Cameron L</dc:creator>
  <cp:keywords/>
  <dc:description/>
  <cp:lastModifiedBy>Jeanne, Juliette M</cp:lastModifiedBy>
  <cp:revision>2</cp:revision>
  <dcterms:created xsi:type="dcterms:W3CDTF">2024-03-22T20:37:00Z</dcterms:created>
  <dcterms:modified xsi:type="dcterms:W3CDTF">2024-03-26T23:07:00Z</dcterms:modified>
</cp:coreProperties>
</file>