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83" w:rsidRPr="00ED2183" w:rsidRDefault="00C07AA1" w:rsidP="00ED2183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bCs/>
          <w:caps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cap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-1088390</wp:posOffset>
                </wp:positionV>
                <wp:extent cx="14097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AA1" w:rsidRDefault="00C07AA1">
                            <w:r>
                              <w:rPr>
                                <w:noProof/>
                              </w:rPr>
                              <w:t>ATTACHMENT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-85.7pt;width:111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" fillcolor="white [3201]" strokeweight=".5pt">
                <v:textbox>
                  <w:txbxContent>
                    <w:p w:rsidR="00C07AA1" w:rsidRDefault="00C07AA1">
                      <w:bookmarkStart w:id="1" w:name="_GoBack"/>
                      <w:r>
                        <w:rPr>
                          <w:noProof/>
                        </w:rPr>
                        <w:t>ATTACHMENT 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036D4" w:rsidRPr="00F036D4">
        <w:rPr>
          <w:rFonts w:asciiTheme="minorHAnsi" w:hAnsiTheme="minorHAnsi" w:cstheme="minorHAnsi"/>
          <w:b/>
          <w:bCs/>
          <w:caps/>
          <w:sz w:val="22"/>
          <w:szCs w:val="22"/>
          <w:u w:val="none"/>
        </w:rPr>
        <w:t>Hiring Official</w:t>
      </w:r>
    </w:p>
    <w:p w:rsidR="00ED2183" w:rsidRDefault="00ED2183" w:rsidP="00F036D4">
      <w:pPr>
        <w:rPr>
          <w:rFonts w:asciiTheme="minorHAnsi" w:hAnsiTheme="minorHAnsi" w:cstheme="minorHAnsi"/>
          <w:sz w:val="22"/>
          <w:szCs w:val="22"/>
        </w:rPr>
      </w:pPr>
    </w:p>
    <w:p w:rsidR="000A10E6" w:rsidRPr="00127C9A" w:rsidRDefault="00F036D4" w:rsidP="00F036D4">
      <w:pPr>
        <w:rPr>
          <w:rFonts w:asciiTheme="minorHAnsi" w:hAnsiTheme="minorHAnsi" w:cstheme="minorHAnsi"/>
        </w:rPr>
      </w:pPr>
      <w:r w:rsidRPr="00127C9A">
        <w:rPr>
          <w:rFonts w:asciiTheme="minorHAnsi" w:hAnsiTheme="minorHAnsi" w:cstheme="minorHAnsi"/>
        </w:rPr>
        <w:t xml:space="preserve">The Approving Official (AO) will </w:t>
      </w:r>
      <w:r w:rsidR="00F679C0" w:rsidRPr="00127C9A">
        <w:rPr>
          <w:rFonts w:asciiTheme="minorHAnsi" w:hAnsiTheme="minorHAnsi" w:cstheme="minorHAnsi"/>
        </w:rPr>
        <w:t>determine</w:t>
      </w:r>
      <w:r w:rsidRPr="00127C9A">
        <w:rPr>
          <w:rFonts w:asciiTheme="minorHAnsi" w:hAnsiTheme="minorHAnsi" w:cstheme="minorHAnsi"/>
        </w:rPr>
        <w:t xml:space="preserve"> which method of reimbursement is appropriate for casual employee travel expenses (through </w:t>
      </w:r>
      <w:r w:rsidR="00F767A1">
        <w:rPr>
          <w:rFonts w:asciiTheme="minorHAnsi" w:hAnsiTheme="minorHAnsi" w:cstheme="minorHAnsi"/>
        </w:rPr>
        <w:t>Concur</w:t>
      </w:r>
      <w:r w:rsidR="00704364">
        <w:rPr>
          <w:rFonts w:asciiTheme="minorHAnsi" w:hAnsiTheme="minorHAnsi" w:cstheme="minorHAnsi"/>
        </w:rPr>
        <w:t>.</w:t>
      </w:r>
      <w:r w:rsidR="00F767A1">
        <w:rPr>
          <w:rFonts w:asciiTheme="minorHAnsi" w:hAnsiTheme="minorHAnsi" w:cstheme="minorHAnsi"/>
        </w:rPr>
        <w:t>Gov</w:t>
      </w:r>
      <w:r w:rsidRPr="00127C9A">
        <w:rPr>
          <w:rFonts w:asciiTheme="minorHAnsi" w:hAnsiTheme="minorHAnsi" w:cstheme="minorHAnsi"/>
        </w:rPr>
        <w:t xml:space="preserve"> or </w:t>
      </w:r>
      <w:r w:rsidR="00F767A1">
        <w:rPr>
          <w:rFonts w:asciiTheme="minorHAnsi" w:hAnsiTheme="minorHAnsi" w:cstheme="minorHAnsi"/>
        </w:rPr>
        <w:t>Optional Form (</w:t>
      </w:r>
      <w:r w:rsidRPr="00127C9A">
        <w:rPr>
          <w:rFonts w:asciiTheme="minorHAnsi" w:hAnsiTheme="minorHAnsi" w:cstheme="minorHAnsi"/>
        </w:rPr>
        <w:t>OF</w:t>
      </w:r>
      <w:r w:rsidR="00F767A1">
        <w:rPr>
          <w:rFonts w:asciiTheme="minorHAnsi" w:hAnsiTheme="minorHAnsi" w:cstheme="minorHAnsi"/>
        </w:rPr>
        <w:t>)</w:t>
      </w:r>
      <w:r w:rsidRPr="00127C9A">
        <w:rPr>
          <w:rFonts w:asciiTheme="minorHAnsi" w:hAnsiTheme="minorHAnsi" w:cstheme="minorHAnsi"/>
        </w:rPr>
        <w:t>-288</w:t>
      </w:r>
      <w:r w:rsidR="00F679C0" w:rsidRPr="00127C9A">
        <w:rPr>
          <w:rFonts w:asciiTheme="minorHAnsi" w:hAnsiTheme="minorHAnsi" w:cstheme="minorHAnsi"/>
        </w:rPr>
        <w:t xml:space="preserve">) and if appropriate, submit to the </w:t>
      </w:r>
      <w:r w:rsidR="00F767A1">
        <w:rPr>
          <w:rFonts w:asciiTheme="minorHAnsi" w:hAnsiTheme="minorHAnsi" w:cstheme="minorHAnsi"/>
        </w:rPr>
        <w:t>Casual Payment Center (</w:t>
      </w:r>
      <w:r w:rsidR="00F679C0" w:rsidRPr="00127C9A">
        <w:rPr>
          <w:rFonts w:asciiTheme="minorHAnsi" w:hAnsiTheme="minorHAnsi" w:cstheme="minorHAnsi"/>
        </w:rPr>
        <w:t>CPC</w:t>
      </w:r>
      <w:r w:rsidR="00F767A1">
        <w:rPr>
          <w:rFonts w:asciiTheme="minorHAnsi" w:hAnsiTheme="minorHAnsi" w:cstheme="minorHAnsi"/>
        </w:rPr>
        <w:t>)</w:t>
      </w:r>
      <w:r w:rsidR="00F679C0" w:rsidRPr="00127C9A">
        <w:rPr>
          <w:rFonts w:asciiTheme="minorHAnsi" w:hAnsiTheme="minorHAnsi" w:cstheme="minorHAnsi"/>
        </w:rPr>
        <w:t xml:space="preserve"> for processing.</w:t>
      </w:r>
    </w:p>
    <w:p w:rsidR="00F036D4" w:rsidRDefault="00F036D4">
      <w:pPr>
        <w:rPr>
          <w:rFonts w:asciiTheme="minorHAnsi" w:hAnsiTheme="minorHAnsi" w:cstheme="minorHAnsi"/>
          <w:sz w:val="22"/>
          <w:szCs w:val="22"/>
        </w:rPr>
      </w:pPr>
    </w:p>
    <w:p w:rsidR="00F679C0" w:rsidRPr="0025239B" w:rsidRDefault="00F679C0" w:rsidP="00F679C0">
      <w:pPr>
        <w:pStyle w:val="Heading1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bCs/>
          <w:caps/>
          <w:sz w:val="22"/>
          <w:szCs w:val="22"/>
          <w:u w:val="none"/>
        </w:rPr>
      </w:pPr>
      <w:r w:rsidRPr="0025239B">
        <w:rPr>
          <w:rFonts w:asciiTheme="minorHAnsi" w:hAnsiTheme="minorHAnsi" w:cstheme="minorHAnsi"/>
          <w:b/>
          <w:bCs/>
          <w:caps/>
          <w:sz w:val="22"/>
          <w:szCs w:val="22"/>
          <w:u w:val="none"/>
        </w:rPr>
        <w:t>Travel reimbursement process</w:t>
      </w:r>
    </w:p>
    <w:p w:rsidR="00ED2183" w:rsidRPr="00127C9A" w:rsidRDefault="00ED2183" w:rsidP="00F036D4">
      <w:pPr>
        <w:rPr>
          <w:rFonts w:asciiTheme="minorHAnsi" w:hAnsiTheme="minorHAnsi" w:cstheme="minorHAnsi"/>
        </w:rPr>
      </w:pPr>
    </w:p>
    <w:p w:rsidR="00F679C0" w:rsidRPr="00127C9A" w:rsidRDefault="00F679C0" w:rsidP="00F036D4">
      <w:pPr>
        <w:rPr>
          <w:rFonts w:asciiTheme="minorHAnsi" w:hAnsiTheme="minorHAnsi" w:cstheme="minorHAnsi"/>
        </w:rPr>
      </w:pPr>
      <w:r w:rsidRPr="00127C9A">
        <w:rPr>
          <w:rFonts w:asciiTheme="minorHAnsi" w:hAnsiTheme="minorHAnsi" w:cstheme="minorHAnsi"/>
        </w:rPr>
        <w:t>Under terms of the Casual Hire Travel Expense Reimbursement Waiver, casual employees may claim the following travel expenses on the OF-288 form:</w:t>
      </w:r>
    </w:p>
    <w:p w:rsidR="00F679C0" w:rsidRPr="00127C9A" w:rsidRDefault="00704364" w:rsidP="00F679C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Privately Owned Vehicle </w:t>
      </w:r>
      <w:r w:rsidR="00F679C0" w:rsidRPr="00127C9A">
        <w:rPr>
          <w:rFonts w:asciiTheme="minorHAnsi" w:hAnsiTheme="minorHAnsi" w:cstheme="minorHAnsi"/>
        </w:rPr>
        <w:t>(POV) mileage;</w:t>
      </w:r>
    </w:p>
    <w:p w:rsidR="00F679C0" w:rsidRPr="00127C9A" w:rsidRDefault="00F679C0" w:rsidP="00F679C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27C9A">
        <w:rPr>
          <w:rFonts w:asciiTheme="minorHAnsi" w:hAnsiTheme="minorHAnsi" w:cstheme="minorHAnsi"/>
        </w:rPr>
        <w:t>Incidental expenses; and</w:t>
      </w:r>
    </w:p>
    <w:p w:rsidR="001C2396" w:rsidRPr="00127C9A" w:rsidRDefault="00F679C0" w:rsidP="001C239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27C9A">
        <w:rPr>
          <w:rFonts w:asciiTheme="minorHAnsi" w:hAnsiTheme="minorHAnsi" w:cstheme="minorHAnsi"/>
        </w:rPr>
        <w:t xml:space="preserve">Maximum of 15 meals per emergency </w:t>
      </w:r>
      <w:r w:rsidR="00B13B4E" w:rsidRPr="00127C9A">
        <w:rPr>
          <w:rFonts w:asciiTheme="minorHAnsi" w:hAnsiTheme="minorHAnsi" w:cstheme="minorHAnsi"/>
        </w:rPr>
        <w:t>incident</w:t>
      </w:r>
      <w:r w:rsidRPr="00127C9A">
        <w:rPr>
          <w:rFonts w:asciiTheme="minorHAnsi" w:hAnsiTheme="minorHAnsi" w:cstheme="minorHAnsi"/>
        </w:rPr>
        <w:t>.</w:t>
      </w:r>
    </w:p>
    <w:p w:rsidR="00127C9A" w:rsidRPr="00127C9A" w:rsidRDefault="00127C9A" w:rsidP="00127C9A">
      <w:pPr>
        <w:rPr>
          <w:rFonts w:asciiTheme="minorHAnsi" w:hAnsiTheme="minorHAnsi" w:cstheme="minorHAnsi"/>
        </w:rPr>
      </w:pPr>
    </w:p>
    <w:p w:rsidR="00127C9A" w:rsidRPr="00127C9A" w:rsidRDefault="00127C9A" w:rsidP="00127C9A">
      <w:pPr>
        <w:rPr>
          <w:rFonts w:asciiTheme="minorHAnsi" w:hAnsiTheme="minorHAnsi" w:cstheme="minorHAnsi"/>
        </w:rPr>
      </w:pPr>
      <w:r w:rsidRPr="00127C9A">
        <w:rPr>
          <w:rFonts w:asciiTheme="minorHAnsi" w:hAnsiTheme="minorHAnsi" w:cstheme="minorHAnsi"/>
        </w:rPr>
        <w:t xml:space="preserve">The CPC staff will validate, as accurate, the allowable per diem rate and mileage rate claim on each reimbursement form/request and process the OF-288 for payment. </w:t>
      </w:r>
      <w:r w:rsidR="00F767A1">
        <w:rPr>
          <w:rFonts w:asciiTheme="minorHAnsi" w:hAnsiTheme="minorHAnsi" w:cstheme="minorHAnsi"/>
        </w:rPr>
        <w:t xml:space="preserve"> </w:t>
      </w:r>
      <w:r w:rsidRPr="00127C9A">
        <w:rPr>
          <w:rFonts w:asciiTheme="minorHAnsi" w:hAnsiTheme="minorHAnsi" w:cstheme="minorHAnsi"/>
        </w:rPr>
        <w:t xml:space="preserve">They will work with the hiring location to ensure the casual’s pay on the OF-288 is not delayed pending travel reimbursement issues. </w:t>
      </w:r>
      <w:r w:rsidR="00F767A1">
        <w:rPr>
          <w:rFonts w:asciiTheme="minorHAnsi" w:hAnsiTheme="minorHAnsi" w:cstheme="minorHAnsi"/>
        </w:rPr>
        <w:t xml:space="preserve"> </w:t>
      </w:r>
      <w:r w:rsidRPr="00127C9A">
        <w:rPr>
          <w:rFonts w:asciiTheme="minorHAnsi" w:hAnsiTheme="minorHAnsi" w:cstheme="minorHAnsi"/>
        </w:rPr>
        <w:t xml:space="preserve">When travel issues cannot be resolved, (e.g. there are lodging or other receipts </w:t>
      </w:r>
      <w:r w:rsidR="00F767A1">
        <w:rPr>
          <w:rFonts w:asciiTheme="minorHAnsi" w:hAnsiTheme="minorHAnsi" w:cstheme="minorHAnsi"/>
        </w:rPr>
        <w:t>that need to be paid through Concur</w:t>
      </w:r>
      <w:r w:rsidR="00704364">
        <w:rPr>
          <w:rFonts w:asciiTheme="minorHAnsi" w:hAnsiTheme="minorHAnsi" w:cstheme="minorHAnsi"/>
        </w:rPr>
        <w:t>.</w:t>
      </w:r>
      <w:r w:rsidR="00F767A1">
        <w:rPr>
          <w:rFonts w:asciiTheme="minorHAnsi" w:hAnsiTheme="minorHAnsi" w:cstheme="minorHAnsi"/>
        </w:rPr>
        <w:t>Gov</w:t>
      </w:r>
      <w:r w:rsidRPr="00127C9A">
        <w:rPr>
          <w:rFonts w:asciiTheme="minorHAnsi" w:hAnsiTheme="minorHAnsi" w:cstheme="minorHAnsi"/>
        </w:rPr>
        <w:t xml:space="preserve">), the CPC will remove the travel claims from the OF-288 and process </w:t>
      </w:r>
      <w:r w:rsidR="000D29AE">
        <w:rPr>
          <w:rFonts w:asciiTheme="minorHAnsi" w:hAnsiTheme="minorHAnsi" w:cstheme="minorHAnsi"/>
        </w:rPr>
        <w:t xml:space="preserve">only </w:t>
      </w:r>
      <w:r w:rsidRPr="00127C9A">
        <w:rPr>
          <w:rFonts w:asciiTheme="minorHAnsi" w:hAnsiTheme="minorHAnsi" w:cstheme="minorHAnsi"/>
        </w:rPr>
        <w:t>the casual’s payroll.</w:t>
      </w:r>
    </w:p>
    <w:p w:rsidR="001C2396" w:rsidRPr="00127C9A" w:rsidRDefault="001C2396" w:rsidP="001C2396">
      <w:pPr>
        <w:pStyle w:val="ListParagraph"/>
        <w:rPr>
          <w:rFonts w:asciiTheme="minorHAnsi" w:hAnsiTheme="minorHAnsi" w:cstheme="minorHAnsi"/>
          <w:u w:val="single"/>
        </w:rPr>
      </w:pPr>
    </w:p>
    <w:p w:rsidR="001C2396" w:rsidRPr="00127C9A" w:rsidRDefault="001C2396" w:rsidP="001C2396">
      <w:pPr>
        <w:rPr>
          <w:rFonts w:asciiTheme="minorHAnsi" w:hAnsiTheme="minorHAnsi" w:cstheme="minorHAnsi"/>
          <w:b/>
          <w:u w:val="single"/>
        </w:rPr>
      </w:pPr>
      <w:r w:rsidRPr="00127C9A">
        <w:rPr>
          <w:rFonts w:asciiTheme="minorHAnsi" w:hAnsiTheme="minorHAnsi" w:cstheme="minorHAnsi"/>
          <w:b/>
          <w:u w:val="single"/>
        </w:rPr>
        <w:t>HOW TO SUBMIT TRAVEL EXPENSE REIMBURSEMENTS</w:t>
      </w:r>
    </w:p>
    <w:p w:rsidR="00F679C0" w:rsidRPr="00127C9A" w:rsidRDefault="00F679C0" w:rsidP="00F036D4">
      <w:pPr>
        <w:rPr>
          <w:rFonts w:asciiTheme="minorHAnsi" w:hAnsiTheme="minorHAnsi" w:cstheme="minorHAnsi"/>
        </w:rPr>
      </w:pPr>
      <w:bookmarkStart w:id="0" w:name="_GoBack"/>
      <w:bookmarkEnd w:id="0"/>
    </w:p>
    <w:p w:rsidR="00F036D4" w:rsidRPr="00127C9A" w:rsidRDefault="00021CE7" w:rsidP="00F036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BATCH </w:t>
      </w:r>
      <w:r w:rsidR="00B13B4E" w:rsidRPr="00127C9A">
        <w:rPr>
          <w:rFonts w:asciiTheme="minorHAnsi" w:hAnsiTheme="minorHAnsi" w:cstheme="minorHAnsi"/>
          <w:b/>
        </w:rPr>
        <w:t>MEMO</w:t>
      </w:r>
      <w:r w:rsidR="00B13B4E" w:rsidRPr="00127C9A">
        <w:rPr>
          <w:rFonts w:asciiTheme="minorHAnsi" w:hAnsiTheme="minorHAnsi" w:cstheme="minorHAnsi"/>
        </w:rPr>
        <w:t xml:space="preserve">: </w:t>
      </w:r>
      <w:r w:rsidR="00F767A1">
        <w:rPr>
          <w:rFonts w:asciiTheme="minorHAnsi" w:hAnsiTheme="minorHAnsi" w:cstheme="minorHAnsi"/>
        </w:rPr>
        <w:t xml:space="preserve"> </w:t>
      </w:r>
      <w:r w:rsidR="00F036D4" w:rsidRPr="00127C9A">
        <w:rPr>
          <w:rFonts w:asciiTheme="minorHAnsi" w:hAnsiTheme="minorHAnsi" w:cstheme="minorHAnsi"/>
        </w:rPr>
        <w:t>As part of the batch approval process, the AO will certify that the OF-288s are accurate, appropriate, and legal for payment.</w:t>
      </w:r>
      <w:r w:rsidR="00F679C0" w:rsidRPr="00127C9A">
        <w:rPr>
          <w:rFonts w:asciiTheme="minorHAnsi" w:hAnsiTheme="minorHAnsi" w:cstheme="minorHAnsi"/>
        </w:rPr>
        <w:t xml:space="preserve"> </w:t>
      </w:r>
      <w:r w:rsidR="00B13B4E" w:rsidRPr="00127C9A">
        <w:rPr>
          <w:rFonts w:asciiTheme="minorHAnsi" w:hAnsiTheme="minorHAnsi" w:cstheme="minorHAnsi"/>
        </w:rPr>
        <w:t xml:space="preserve"> An Incidental Expenses </w:t>
      </w:r>
      <w:r w:rsidR="00CF3D4C" w:rsidRPr="00127C9A">
        <w:rPr>
          <w:rFonts w:asciiTheme="minorHAnsi" w:hAnsiTheme="minorHAnsi" w:cstheme="minorHAnsi"/>
        </w:rPr>
        <w:t xml:space="preserve">(IE) </w:t>
      </w:r>
      <w:r w:rsidR="00B13B4E" w:rsidRPr="00127C9A">
        <w:rPr>
          <w:rFonts w:asciiTheme="minorHAnsi" w:hAnsiTheme="minorHAnsi" w:cstheme="minorHAnsi"/>
        </w:rPr>
        <w:t>box h</w:t>
      </w:r>
      <w:r w:rsidR="00883F36" w:rsidRPr="00127C9A">
        <w:rPr>
          <w:rFonts w:asciiTheme="minorHAnsi" w:hAnsiTheme="minorHAnsi" w:cstheme="minorHAnsi"/>
        </w:rPr>
        <w:t xml:space="preserve">as been added to the batch memo indicating all casuals submitted in the batch </w:t>
      </w:r>
      <w:r w:rsidR="007E3F72" w:rsidRPr="00127C9A">
        <w:rPr>
          <w:rFonts w:asciiTheme="minorHAnsi" w:hAnsiTheme="minorHAnsi" w:cstheme="minorHAnsi"/>
        </w:rPr>
        <w:t>sh</w:t>
      </w:r>
      <w:r w:rsidR="007E3F72">
        <w:rPr>
          <w:rFonts w:asciiTheme="minorHAnsi" w:hAnsiTheme="minorHAnsi" w:cstheme="minorHAnsi"/>
        </w:rPr>
        <w:t>ould</w:t>
      </w:r>
      <w:r w:rsidR="007E3F72" w:rsidRPr="00127C9A">
        <w:rPr>
          <w:rFonts w:asciiTheme="minorHAnsi" w:hAnsiTheme="minorHAnsi" w:cstheme="minorHAnsi"/>
        </w:rPr>
        <w:t xml:space="preserve"> </w:t>
      </w:r>
      <w:r w:rsidR="00883F36" w:rsidRPr="00127C9A">
        <w:rPr>
          <w:rFonts w:asciiTheme="minorHAnsi" w:hAnsiTheme="minorHAnsi" w:cstheme="minorHAnsi"/>
        </w:rPr>
        <w:t>be reimbursed</w:t>
      </w:r>
      <w:r w:rsidR="00D02430">
        <w:rPr>
          <w:rFonts w:asciiTheme="minorHAnsi" w:hAnsiTheme="minorHAnsi" w:cstheme="minorHAnsi"/>
        </w:rPr>
        <w:t xml:space="preserve"> for</w:t>
      </w:r>
      <w:r w:rsidR="007E3F72">
        <w:rPr>
          <w:rFonts w:asciiTheme="minorHAnsi" w:hAnsiTheme="minorHAnsi" w:cstheme="minorHAnsi"/>
        </w:rPr>
        <w:t xml:space="preserve"> </w:t>
      </w:r>
      <w:r w:rsidR="00D02430">
        <w:rPr>
          <w:rFonts w:asciiTheme="minorHAnsi" w:hAnsiTheme="minorHAnsi" w:cstheme="minorHAnsi"/>
        </w:rPr>
        <w:t>i</w:t>
      </w:r>
      <w:r w:rsidR="00B13B4E" w:rsidRPr="00127C9A">
        <w:rPr>
          <w:rFonts w:asciiTheme="minorHAnsi" w:hAnsiTheme="minorHAnsi" w:cstheme="minorHAnsi"/>
        </w:rPr>
        <w:t xml:space="preserve">ncidental </w:t>
      </w:r>
      <w:r w:rsidR="00D02430">
        <w:rPr>
          <w:rFonts w:asciiTheme="minorHAnsi" w:hAnsiTheme="minorHAnsi" w:cstheme="minorHAnsi"/>
        </w:rPr>
        <w:t>e</w:t>
      </w:r>
      <w:r w:rsidR="00B13B4E" w:rsidRPr="00127C9A">
        <w:rPr>
          <w:rFonts w:asciiTheme="minorHAnsi" w:hAnsiTheme="minorHAnsi" w:cstheme="minorHAnsi"/>
        </w:rPr>
        <w:t>xpense</w:t>
      </w:r>
      <w:r w:rsidR="007E3F72">
        <w:rPr>
          <w:rFonts w:asciiTheme="minorHAnsi" w:hAnsiTheme="minorHAnsi" w:cstheme="minorHAnsi"/>
        </w:rPr>
        <w:t>s</w:t>
      </w:r>
      <w:r w:rsidR="00D02430">
        <w:rPr>
          <w:rFonts w:asciiTheme="minorHAnsi" w:hAnsiTheme="minorHAnsi" w:cstheme="minorHAnsi"/>
        </w:rPr>
        <w:t>.</w:t>
      </w:r>
      <w:r w:rsidR="00B13B4E" w:rsidRPr="00127C9A">
        <w:rPr>
          <w:rFonts w:asciiTheme="minorHAnsi" w:hAnsiTheme="minorHAnsi" w:cstheme="minorHAnsi"/>
        </w:rPr>
        <w:t xml:space="preserve"> </w:t>
      </w:r>
      <w:r w:rsidR="00F767A1">
        <w:rPr>
          <w:rFonts w:asciiTheme="minorHAnsi" w:hAnsiTheme="minorHAnsi" w:cstheme="minorHAnsi"/>
        </w:rPr>
        <w:t xml:space="preserve"> </w:t>
      </w:r>
      <w:r w:rsidR="00B13B4E" w:rsidRPr="00127C9A">
        <w:rPr>
          <w:rFonts w:asciiTheme="minorHAnsi" w:hAnsiTheme="minorHAnsi" w:cstheme="minorHAnsi"/>
        </w:rPr>
        <w:t xml:space="preserve">Starting and Ending Dates should be </w:t>
      </w:r>
      <w:r w:rsidR="00883F36" w:rsidRPr="00127C9A">
        <w:rPr>
          <w:rFonts w:asciiTheme="minorHAnsi" w:hAnsiTheme="minorHAnsi" w:cstheme="minorHAnsi"/>
        </w:rPr>
        <w:t>completed by AO.</w:t>
      </w:r>
      <w:r w:rsidR="00CF3D4C" w:rsidRPr="00127C9A">
        <w:rPr>
          <w:rFonts w:asciiTheme="minorHAnsi" w:hAnsiTheme="minorHAnsi" w:cstheme="minorHAnsi"/>
        </w:rPr>
        <w:t xml:space="preserve"> </w:t>
      </w:r>
      <w:r w:rsidR="00F767A1">
        <w:rPr>
          <w:rFonts w:asciiTheme="minorHAnsi" w:hAnsiTheme="minorHAnsi" w:cstheme="minorHAnsi"/>
        </w:rPr>
        <w:t xml:space="preserve"> </w:t>
      </w:r>
      <w:r w:rsidR="00486BBF">
        <w:rPr>
          <w:rFonts w:asciiTheme="minorHAnsi" w:hAnsiTheme="minorHAnsi" w:cstheme="minorHAnsi"/>
        </w:rPr>
        <w:t>The CPC will then add dates and totals to each OF-288 in the batch.</w:t>
      </w:r>
    </w:p>
    <w:p w:rsidR="00CF3D4C" w:rsidRPr="00127C9A" w:rsidRDefault="00CF3D4C" w:rsidP="00F036D4">
      <w:pPr>
        <w:rPr>
          <w:rFonts w:asciiTheme="minorHAnsi" w:hAnsiTheme="minorHAnsi" w:cstheme="minorHAnsi"/>
          <w:b/>
          <w:i/>
        </w:rPr>
      </w:pPr>
      <w:r w:rsidRPr="00127C9A">
        <w:rPr>
          <w:rFonts w:asciiTheme="minorHAnsi" w:hAnsiTheme="minorHAnsi" w:cstheme="minorHAnsi"/>
          <w:b/>
          <w:i/>
        </w:rPr>
        <w:t>**Please note IE reimbursement payments will be made to the corresponding fire code as indicated by date on the OF-288.</w:t>
      </w:r>
      <w:r w:rsidR="00F767A1">
        <w:rPr>
          <w:rFonts w:asciiTheme="minorHAnsi" w:hAnsiTheme="minorHAnsi" w:cstheme="minorHAnsi"/>
          <w:b/>
          <w:i/>
        </w:rPr>
        <w:t xml:space="preserve"> </w:t>
      </w:r>
      <w:r w:rsidR="009906E7" w:rsidRPr="00127C9A">
        <w:rPr>
          <w:rFonts w:asciiTheme="minorHAnsi" w:hAnsiTheme="minorHAnsi" w:cstheme="minorHAnsi"/>
          <w:b/>
          <w:i/>
        </w:rPr>
        <w:t xml:space="preserve"> For example</w:t>
      </w:r>
      <w:r w:rsidR="00B764BF">
        <w:rPr>
          <w:rFonts w:asciiTheme="minorHAnsi" w:hAnsiTheme="minorHAnsi" w:cstheme="minorHAnsi"/>
          <w:b/>
          <w:i/>
        </w:rPr>
        <w:t>,</w:t>
      </w:r>
      <w:r w:rsidR="009906E7" w:rsidRPr="00127C9A">
        <w:rPr>
          <w:rFonts w:asciiTheme="minorHAnsi" w:hAnsiTheme="minorHAnsi" w:cstheme="minorHAnsi"/>
          <w:b/>
          <w:i/>
        </w:rPr>
        <w:t xml:space="preserve"> c</w:t>
      </w:r>
      <w:r w:rsidR="0081418D" w:rsidRPr="00127C9A">
        <w:rPr>
          <w:rFonts w:asciiTheme="minorHAnsi" w:hAnsiTheme="minorHAnsi" w:cstheme="minorHAnsi"/>
          <w:b/>
          <w:i/>
        </w:rPr>
        <w:t>olumns A &amp;</w:t>
      </w:r>
      <w:r w:rsidR="009906E7" w:rsidRPr="00127C9A">
        <w:rPr>
          <w:rFonts w:asciiTheme="minorHAnsi" w:hAnsiTheme="minorHAnsi" w:cstheme="minorHAnsi"/>
          <w:b/>
          <w:i/>
        </w:rPr>
        <w:t xml:space="preserve"> B have fire code J7PW, and column C has fire code J7LN, the IE reimbursement will be applied to the dates and fire code in columns A &amp; B (J7PW) and the dates and fire co</w:t>
      </w:r>
      <w:r w:rsidR="00DB3334" w:rsidRPr="00127C9A">
        <w:rPr>
          <w:rFonts w:asciiTheme="minorHAnsi" w:hAnsiTheme="minorHAnsi" w:cstheme="minorHAnsi"/>
          <w:b/>
          <w:i/>
        </w:rPr>
        <w:t>de</w:t>
      </w:r>
      <w:r w:rsidR="009906E7" w:rsidRPr="00127C9A">
        <w:rPr>
          <w:rFonts w:asciiTheme="minorHAnsi" w:hAnsiTheme="minorHAnsi" w:cstheme="minorHAnsi"/>
          <w:b/>
          <w:i/>
        </w:rPr>
        <w:t xml:space="preserve"> in column C (J7LN).</w:t>
      </w:r>
    </w:p>
    <w:p w:rsidR="00B13B4E" w:rsidRPr="00127C9A" w:rsidRDefault="00B13B4E" w:rsidP="00F036D4">
      <w:pPr>
        <w:rPr>
          <w:rFonts w:asciiTheme="minorHAnsi" w:hAnsiTheme="minorHAnsi" w:cstheme="minorHAnsi"/>
        </w:rPr>
      </w:pPr>
    </w:p>
    <w:p w:rsidR="00ED2183" w:rsidRPr="00127C9A" w:rsidRDefault="00B23488" w:rsidP="00F036D4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91060BB" wp14:editId="045BD68E">
            <wp:extent cx="6811689" cy="1669774"/>
            <wp:effectExtent l="19050" t="19050" r="8255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0DE4F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 t="42788" r="6149" b="33654"/>
                    <a:stretch/>
                  </pic:blipFill>
                  <pic:spPr bwMode="auto">
                    <a:xfrm>
                      <a:off x="0" y="0"/>
                      <a:ext cx="6811689" cy="1669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B4E" w:rsidRDefault="00B13B4E" w:rsidP="00CC6842">
      <w:pPr>
        <w:rPr>
          <w:rFonts w:asciiTheme="minorHAnsi" w:hAnsiTheme="minorHAnsi" w:cstheme="minorHAnsi"/>
          <w:sz w:val="22"/>
          <w:szCs w:val="22"/>
        </w:rPr>
      </w:pPr>
    </w:p>
    <w:p w:rsidR="00883F36" w:rsidRDefault="00883F36" w:rsidP="00883F36">
      <w:pPr>
        <w:rPr>
          <w:rFonts w:asciiTheme="minorHAnsi" w:hAnsiTheme="minorHAnsi" w:cstheme="minorHAnsi"/>
          <w:sz w:val="22"/>
          <w:szCs w:val="22"/>
        </w:rPr>
      </w:pPr>
    </w:p>
    <w:p w:rsidR="00B23488" w:rsidRDefault="008A69DE" w:rsidP="008A69DE">
      <w:pPr>
        <w:tabs>
          <w:tab w:val="left" w:pos="851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:rsidR="00127C9A" w:rsidRDefault="00127C9A" w:rsidP="00883F36">
      <w:pPr>
        <w:rPr>
          <w:rFonts w:asciiTheme="minorHAnsi" w:hAnsiTheme="minorHAnsi" w:cstheme="minorHAnsi"/>
          <w:sz w:val="22"/>
          <w:szCs w:val="22"/>
        </w:rPr>
      </w:pPr>
    </w:p>
    <w:p w:rsidR="00883F36" w:rsidRPr="00127C9A" w:rsidRDefault="00883F36" w:rsidP="00F036D4">
      <w:pPr>
        <w:rPr>
          <w:rFonts w:asciiTheme="minorHAnsi" w:hAnsiTheme="minorHAnsi" w:cstheme="minorHAnsi"/>
        </w:rPr>
      </w:pPr>
      <w:r w:rsidRPr="00127C9A">
        <w:rPr>
          <w:rFonts w:asciiTheme="minorHAnsi" w:hAnsiTheme="minorHAnsi" w:cstheme="minorHAnsi"/>
          <w:b/>
        </w:rPr>
        <w:t>OF-288:</w:t>
      </w:r>
      <w:r w:rsidRPr="00127C9A">
        <w:rPr>
          <w:rFonts w:asciiTheme="minorHAnsi" w:hAnsiTheme="minorHAnsi" w:cstheme="minorHAnsi"/>
        </w:rPr>
        <w:t xml:space="preserve"> </w:t>
      </w:r>
      <w:r w:rsidR="00F767A1">
        <w:rPr>
          <w:rFonts w:asciiTheme="minorHAnsi" w:hAnsiTheme="minorHAnsi" w:cstheme="minorHAnsi"/>
        </w:rPr>
        <w:t xml:space="preserve"> </w:t>
      </w:r>
      <w:r w:rsidRPr="00127C9A">
        <w:rPr>
          <w:rFonts w:asciiTheme="minorHAnsi" w:hAnsiTheme="minorHAnsi" w:cstheme="minorHAnsi"/>
        </w:rPr>
        <w:t xml:space="preserve">Within </w:t>
      </w:r>
      <w:r w:rsidRPr="00127C9A">
        <w:rPr>
          <w:rFonts w:asciiTheme="minorHAnsi" w:hAnsiTheme="minorHAnsi" w:cstheme="minorHAnsi"/>
          <w:i/>
        </w:rPr>
        <w:t xml:space="preserve">Box 18. Commissary and Travel </w:t>
      </w:r>
      <w:r w:rsidRPr="00127C9A">
        <w:rPr>
          <w:rFonts w:asciiTheme="minorHAnsi" w:hAnsiTheme="minorHAnsi" w:cstheme="minorHAnsi"/>
        </w:rPr>
        <w:t>on the OF-288</w:t>
      </w:r>
      <w:r w:rsidR="00CF3D4C" w:rsidRPr="00127C9A">
        <w:rPr>
          <w:rFonts w:asciiTheme="minorHAnsi" w:hAnsiTheme="minorHAnsi" w:cstheme="minorHAnsi"/>
        </w:rPr>
        <w:t>, incidental expenses can be indicated along with applicable dates and any POV reimbursement mileag</w:t>
      </w:r>
      <w:r w:rsidR="005230C6" w:rsidRPr="00127C9A">
        <w:rPr>
          <w:rFonts w:asciiTheme="minorHAnsi" w:hAnsiTheme="minorHAnsi" w:cstheme="minorHAnsi"/>
        </w:rPr>
        <w:t xml:space="preserve">e.  Ensure the applicable dates for IE are indicated on the first OF-288 only.  It is not necessary to document travel </w:t>
      </w:r>
      <w:r w:rsidR="001E67C8" w:rsidRPr="00127C9A">
        <w:rPr>
          <w:rFonts w:asciiTheme="minorHAnsi" w:hAnsiTheme="minorHAnsi" w:cstheme="minorHAnsi"/>
        </w:rPr>
        <w:t>reimbursements</w:t>
      </w:r>
      <w:r w:rsidR="005230C6" w:rsidRPr="00127C9A">
        <w:rPr>
          <w:rFonts w:asciiTheme="minorHAnsi" w:hAnsiTheme="minorHAnsi" w:cstheme="minorHAnsi"/>
        </w:rPr>
        <w:t xml:space="preserve"> on each OF-288.</w:t>
      </w:r>
    </w:p>
    <w:p w:rsidR="00883F36" w:rsidRDefault="00883F36" w:rsidP="00F036D4">
      <w:pPr>
        <w:rPr>
          <w:rFonts w:asciiTheme="minorHAnsi" w:hAnsiTheme="minorHAnsi" w:cstheme="minorHAnsi"/>
          <w:sz w:val="22"/>
          <w:szCs w:val="22"/>
        </w:rPr>
      </w:pPr>
    </w:p>
    <w:p w:rsidR="00883F36" w:rsidRDefault="001E67C8" w:rsidP="00F03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30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42B95C" wp14:editId="64CDEBF7">
            <wp:extent cx="6726804" cy="1431235"/>
            <wp:effectExtent l="19050" t="19050" r="17145" b="171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800" cy="14295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2183" w:rsidRDefault="00ED2183" w:rsidP="00F036D4">
      <w:pPr>
        <w:rPr>
          <w:rFonts w:asciiTheme="minorHAnsi" w:hAnsiTheme="minorHAnsi" w:cstheme="minorHAnsi"/>
          <w:b/>
          <w:sz w:val="22"/>
          <w:szCs w:val="22"/>
        </w:rPr>
      </w:pPr>
    </w:p>
    <w:p w:rsidR="0025239B" w:rsidRPr="00127C9A" w:rsidRDefault="0025239B" w:rsidP="00F036D4">
      <w:pPr>
        <w:rPr>
          <w:rFonts w:asciiTheme="minorHAnsi" w:hAnsiTheme="minorHAnsi" w:cstheme="minorHAnsi"/>
        </w:rPr>
      </w:pPr>
      <w:r w:rsidRPr="00127C9A">
        <w:rPr>
          <w:rFonts w:asciiTheme="minorHAnsi" w:hAnsiTheme="minorHAnsi" w:cstheme="minorHAnsi"/>
          <w:b/>
        </w:rPr>
        <w:t xml:space="preserve">TRAVEL WORKSHEET: </w:t>
      </w:r>
      <w:r w:rsidR="00F767A1">
        <w:rPr>
          <w:rFonts w:asciiTheme="minorHAnsi" w:hAnsiTheme="minorHAnsi" w:cstheme="minorHAnsi"/>
          <w:b/>
        </w:rPr>
        <w:t xml:space="preserve"> </w:t>
      </w:r>
      <w:r w:rsidR="003A6FB3" w:rsidRPr="00127C9A">
        <w:rPr>
          <w:rFonts w:asciiTheme="minorHAnsi" w:hAnsiTheme="minorHAnsi" w:cstheme="minorHAnsi"/>
        </w:rPr>
        <w:t>A Travel Worksheet can be attached to either the Batch Memo (crew reimbursement) or an OF-288 (individual reimbursement).  When listing crew names,</w:t>
      </w:r>
      <w:r w:rsidR="00ED2183" w:rsidRPr="00127C9A">
        <w:rPr>
          <w:rFonts w:asciiTheme="minorHAnsi" w:hAnsiTheme="minorHAnsi" w:cstheme="minorHAnsi"/>
        </w:rPr>
        <w:t xml:space="preserve"> only indicate</w:t>
      </w:r>
      <w:r w:rsidR="003A6FB3" w:rsidRPr="00127C9A">
        <w:rPr>
          <w:rFonts w:asciiTheme="minorHAnsi" w:hAnsiTheme="minorHAnsi" w:cstheme="minorHAnsi"/>
        </w:rPr>
        <w:t xml:space="preserve"> ECI n</w:t>
      </w:r>
      <w:r w:rsidR="001C2396" w:rsidRPr="00127C9A">
        <w:rPr>
          <w:rFonts w:asciiTheme="minorHAnsi" w:hAnsiTheme="minorHAnsi" w:cstheme="minorHAnsi"/>
        </w:rPr>
        <w:t>umber if you have ADs with the same or similar last names, or common names.</w:t>
      </w:r>
    </w:p>
    <w:p w:rsidR="004A381E" w:rsidRDefault="004A381E" w:rsidP="00F036D4">
      <w:pPr>
        <w:rPr>
          <w:rFonts w:asciiTheme="minorHAnsi" w:hAnsiTheme="minorHAnsi" w:cstheme="minorHAnsi"/>
          <w:b/>
          <w:sz w:val="22"/>
          <w:szCs w:val="22"/>
        </w:rPr>
      </w:pPr>
    </w:p>
    <w:p w:rsidR="0072623E" w:rsidRDefault="0072623E" w:rsidP="00F036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AE25200" wp14:editId="677099B9">
            <wp:extent cx="6854025" cy="4778734"/>
            <wp:effectExtent l="19050" t="19050" r="23495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47788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74B3" w:rsidRPr="0072623E" w:rsidRDefault="0072623E" w:rsidP="0072623E">
      <w:pPr>
        <w:tabs>
          <w:tab w:val="left" w:pos="33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D274B3" w:rsidRPr="0072623E" w:rsidSect="00F036D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A0" w:rsidRDefault="00FD58A0" w:rsidP="00F036D4">
      <w:r>
        <w:separator/>
      </w:r>
    </w:p>
  </w:endnote>
  <w:endnote w:type="continuationSeparator" w:id="0">
    <w:p w:rsidR="00FD58A0" w:rsidRDefault="00FD58A0" w:rsidP="00F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38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69DE" w:rsidRDefault="008A69DE">
        <w:pPr>
          <w:pStyle w:val="Footer"/>
          <w:jc w:val="right"/>
        </w:pPr>
        <w:r>
          <w:t>Attachment 5-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69DE" w:rsidRDefault="008A6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A0" w:rsidRDefault="00FD58A0" w:rsidP="00F036D4">
      <w:r>
        <w:separator/>
      </w:r>
    </w:p>
  </w:footnote>
  <w:footnote w:type="continuationSeparator" w:id="0">
    <w:p w:rsidR="00FD58A0" w:rsidRDefault="00FD58A0" w:rsidP="00F0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D4" w:rsidRPr="00F036D4" w:rsidRDefault="00F036D4" w:rsidP="00F036D4">
    <w:pPr>
      <w:jc w:val="center"/>
      <w:rPr>
        <w:rFonts w:asciiTheme="minorHAnsi" w:hAnsiTheme="minorHAnsi" w:cstheme="minorHAnsi"/>
        <w:b/>
        <w:sz w:val="28"/>
        <w:szCs w:val="28"/>
      </w:rPr>
    </w:pPr>
    <w:r w:rsidRPr="00F036D4">
      <w:rPr>
        <w:rFonts w:asciiTheme="minorHAnsi" w:hAnsiTheme="minorHAnsi" w:cstheme="minorHAnsi"/>
        <w:b/>
        <w:sz w:val="28"/>
        <w:szCs w:val="28"/>
      </w:rPr>
      <w:t xml:space="preserve">Casual Payment Center </w:t>
    </w:r>
  </w:p>
  <w:p w:rsidR="00F036D4" w:rsidRPr="00F036D4" w:rsidRDefault="00F036D4" w:rsidP="00F036D4">
    <w:pPr>
      <w:jc w:val="center"/>
      <w:rPr>
        <w:rFonts w:asciiTheme="minorHAnsi" w:hAnsiTheme="minorHAnsi" w:cstheme="minorHAnsi"/>
        <w:b/>
        <w:sz w:val="28"/>
        <w:szCs w:val="28"/>
      </w:rPr>
    </w:pPr>
    <w:r w:rsidRPr="00F036D4">
      <w:rPr>
        <w:rFonts w:asciiTheme="minorHAnsi" w:hAnsiTheme="minorHAnsi" w:cstheme="minorHAnsi"/>
        <w:b/>
        <w:sz w:val="28"/>
        <w:szCs w:val="28"/>
      </w:rPr>
      <w:t>Casual AD</w:t>
    </w:r>
  </w:p>
  <w:p w:rsidR="00F036D4" w:rsidRPr="00F036D4" w:rsidRDefault="00F036D4" w:rsidP="00F036D4">
    <w:pPr>
      <w:jc w:val="center"/>
      <w:rPr>
        <w:rFonts w:asciiTheme="minorHAnsi" w:hAnsiTheme="minorHAnsi" w:cstheme="minorHAnsi"/>
        <w:b/>
        <w:sz w:val="28"/>
        <w:szCs w:val="28"/>
      </w:rPr>
    </w:pPr>
    <w:r w:rsidRPr="00F036D4">
      <w:rPr>
        <w:rFonts w:asciiTheme="minorHAnsi" w:hAnsiTheme="minorHAnsi" w:cstheme="minorHAnsi"/>
        <w:b/>
        <w:sz w:val="28"/>
        <w:szCs w:val="28"/>
      </w:rPr>
      <w:t>Travel Reimbursement Process</w:t>
    </w:r>
  </w:p>
  <w:p w:rsidR="00F036D4" w:rsidRDefault="00F03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98A"/>
    <w:multiLevelType w:val="hybridMultilevel"/>
    <w:tmpl w:val="211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B6608"/>
    <w:multiLevelType w:val="hybridMultilevel"/>
    <w:tmpl w:val="341EE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D4"/>
    <w:rsid w:val="00015119"/>
    <w:rsid w:val="00021CE7"/>
    <w:rsid w:val="0002664D"/>
    <w:rsid w:val="00026ED4"/>
    <w:rsid w:val="00042A63"/>
    <w:rsid w:val="00090FAA"/>
    <w:rsid w:val="000D29AE"/>
    <w:rsid w:val="00127C9A"/>
    <w:rsid w:val="00136B1D"/>
    <w:rsid w:val="00173EF1"/>
    <w:rsid w:val="00196A83"/>
    <w:rsid w:val="001A340F"/>
    <w:rsid w:val="001C2396"/>
    <w:rsid w:val="001D15F9"/>
    <w:rsid w:val="001E67C8"/>
    <w:rsid w:val="0021207C"/>
    <w:rsid w:val="0025239B"/>
    <w:rsid w:val="00272903"/>
    <w:rsid w:val="00277CA5"/>
    <w:rsid w:val="002A3ECE"/>
    <w:rsid w:val="002A4343"/>
    <w:rsid w:val="002B189B"/>
    <w:rsid w:val="002D49CE"/>
    <w:rsid w:val="002E58E8"/>
    <w:rsid w:val="003038C5"/>
    <w:rsid w:val="0030710F"/>
    <w:rsid w:val="0031133D"/>
    <w:rsid w:val="0036354B"/>
    <w:rsid w:val="00384FCE"/>
    <w:rsid w:val="003A0853"/>
    <w:rsid w:val="003A143A"/>
    <w:rsid w:val="003A6FB3"/>
    <w:rsid w:val="004149D7"/>
    <w:rsid w:val="00415246"/>
    <w:rsid w:val="00421948"/>
    <w:rsid w:val="00424E5F"/>
    <w:rsid w:val="00435F1D"/>
    <w:rsid w:val="00442440"/>
    <w:rsid w:val="004844FF"/>
    <w:rsid w:val="00486BBF"/>
    <w:rsid w:val="004A1921"/>
    <w:rsid w:val="004A381E"/>
    <w:rsid w:val="004B0666"/>
    <w:rsid w:val="004C51D4"/>
    <w:rsid w:val="004C687B"/>
    <w:rsid w:val="004E6BE9"/>
    <w:rsid w:val="004F4011"/>
    <w:rsid w:val="00501AC2"/>
    <w:rsid w:val="005230C6"/>
    <w:rsid w:val="00540FB2"/>
    <w:rsid w:val="00543779"/>
    <w:rsid w:val="00572604"/>
    <w:rsid w:val="00573064"/>
    <w:rsid w:val="005832ED"/>
    <w:rsid w:val="005A01FC"/>
    <w:rsid w:val="005A17A0"/>
    <w:rsid w:val="005E38C6"/>
    <w:rsid w:val="00641703"/>
    <w:rsid w:val="006E2C06"/>
    <w:rsid w:val="006F129B"/>
    <w:rsid w:val="006F2DCA"/>
    <w:rsid w:val="00704364"/>
    <w:rsid w:val="00705291"/>
    <w:rsid w:val="00724B55"/>
    <w:rsid w:val="007259B4"/>
    <w:rsid w:val="0072623E"/>
    <w:rsid w:val="0074510F"/>
    <w:rsid w:val="007A7FAD"/>
    <w:rsid w:val="007C0DA7"/>
    <w:rsid w:val="007E2A5F"/>
    <w:rsid w:val="007E3F72"/>
    <w:rsid w:val="008038C7"/>
    <w:rsid w:val="0081418D"/>
    <w:rsid w:val="00865AF6"/>
    <w:rsid w:val="00873EE3"/>
    <w:rsid w:val="00882229"/>
    <w:rsid w:val="00883F36"/>
    <w:rsid w:val="008A69DE"/>
    <w:rsid w:val="008B3FAF"/>
    <w:rsid w:val="008C5632"/>
    <w:rsid w:val="00944C91"/>
    <w:rsid w:val="00972AFC"/>
    <w:rsid w:val="009906E7"/>
    <w:rsid w:val="009B1CCC"/>
    <w:rsid w:val="009C0BF0"/>
    <w:rsid w:val="009C5B47"/>
    <w:rsid w:val="009C69B3"/>
    <w:rsid w:val="009C76DA"/>
    <w:rsid w:val="009E18FE"/>
    <w:rsid w:val="009E537C"/>
    <w:rsid w:val="009F1638"/>
    <w:rsid w:val="009F605B"/>
    <w:rsid w:val="00A35095"/>
    <w:rsid w:val="00A64530"/>
    <w:rsid w:val="00A74054"/>
    <w:rsid w:val="00AA3B29"/>
    <w:rsid w:val="00AC439A"/>
    <w:rsid w:val="00AF657F"/>
    <w:rsid w:val="00AF7BD8"/>
    <w:rsid w:val="00B04ECB"/>
    <w:rsid w:val="00B07757"/>
    <w:rsid w:val="00B13B4E"/>
    <w:rsid w:val="00B16129"/>
    <w:rsid w:val="00B23488"/>
    <w:rsid w:val="00B264B2"/>
    <w:rsid w:val="00B31F82"/>
    <w:rsid w:val="00B57A97"/>
    <w:rsid w:val="00B61DF4"/>
    <w:rsid w:val="00B764BF"/>
    <w:rsid w:val="00BA6AA1"/>
    <w:rsid w:val="00C07AA1"/>
    <w:rsid w:val="00C73581"/>
    <w:rsid w:val="00C83931"/>
    <w:rsid w:val="00C8630A"/>
    <w:rsid w:val="00C971E9"/>
    <w:rsid w:val="00CC1A7A"/>
    <w:rsid w:val="00CC23C0"/>
    <w:rsid w:val="00CC6842"/>
    <w:rsid w:val="00CF3D4C"/>
    <w:rsid w:val="00D02430"/>
    <w:rsid w:val="00D1559A"/>
    <w:rsid w:val="00D24BD9"/>
    <w:rsid w:val="00D269B6"/>
    <w:rsid w:val="00D274B3"/>
    <w:rsid w:val="00D41799"/>
    <w:rsid w:val="00D66D2E"/>
    <w:rsid w:val="00D70180"/>
    <w:rsid w:val="00D749B5"/>
    <w:rsid w:val="00DB3334"/>
    <w:rsid w:val="00DF27E1"/>
    <w:rsid w:val="00E0435C"/>
    <w:rsid w:val="00E22226"/>
    <w:rsid w:val="00EB0CA7"/>
    <w:rsid w:val="00EC26FD"/>
    <w:rsid w:val="00ED2183"/>
    <w:rsid w:val="00EE2C09"/>
    <w:rsid w:val="00F036D4"/>
    <w:rsid w:val="00F05BCD"/>
    <w:rsid w:val="00F11D2C"/>
    <w:rsid w:val="00F40EB9"/>
    <w:rsid w:val="00F61F87"/>
    <w:rsid w:val="00F679C0"/>
    <w:rsid w:val="00F767A1"/>
    <w:rsid w:val="00FC713E"/>
    <w:rsid w:val="00FD58A0"/>
    <w:rsid w:val="00FD7957"/>
    <w:rsid w:val="00FE1CF3"/>
    <w:rsid w:val="00FF22E1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6D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 w:cs="Times"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6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36D4"/>
  </w:style>
  <w:style w:type="paragraph" w:styleId="Footer">
    <w:name w:val="footer"/>
    <w:basedOn w:val="Normal"/>
    <w:link w:val="FooterChar"/>
    <w:uiPriority w:val="99"/>
    <w:unhideWhenUsed/>
    <w:rsid w:val="00F036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36D4"/>
  </w:style>
  <w:style w:type="character" w:customStyle="1" w:styleId="Heading1Char">
    <w:name w:val="Heading 1 Char"/>
    <w:basedOn w:val="DefaultParagraphFont"/>
    <w:link w:val="Heading1"/>
    <w:rsid w:val="00F036D4"/>
    <w:rPr>
      <w:rFonts w:ascii="Times" w:eastAsia="Times New Roman" w:hAnsi="Times" w:cs="Times"/>
      <w:color w:val="0000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0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6D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 w:cs="Times"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6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36D4"/>
  </w:style>
  <w:style w:type="paragraph" w:styleId="Footer">
    <w:name w:val="footer"/>
    <w:basedOn w:val="Normal"/>
    <w:link w:val="FooterChar"/>
    <w:uiPriority w:val="99"/>
    <w:unhideWhenUsed/>
    <w:rsid w:val="00F036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36D4"/>
  </w:style>
  <w:style w:type="character" w:customStyle="1" w:styleId="Heading1Char">
    <w:name w:val="Heading 1 Char"/>
    <w:basedOn w:val="DefaultParagraphFont"/>
    <w:link w:val="Heading1"/>
    <w:rsid w:val="00F036D4"/>
    <w:rPr>
      <w:rFonts w:ascii="Times" w:eastAsia="Times New Roman" w:hAnsi="Times" w:cs="Times"/>
      <w:color w:val="0000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0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BC5D-F064-42FC-8C1C-8E636D12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Endicott, Rebecca L</dc:creator>
  <cp:lastModifiedBy>Begay, Jonathan</cp:lastModifiedBy>
  <cp:revision>4</cp:revision>
  <cp:lastPrinted>2016-04-20T19:55:00Z</cp:lastPrinted>
  <dcterms:created xsi:type="dcterms:W3CDTF">2016-04-20T19:55:00Z</dcterms:created>
  <dcterms:modified xsi:type="dcterms:W3CDTF">2016-04-27T14:38:00Z</dcterms:modified>
</cp:coreProperties>
</file>