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1627" w14:textId="37D902EC" w:rsidR="009E3A60" w:rsidRPr="00B3195B" w:rsidRDefault="009E3A60" w:rsidP="00B3195B">
      <w:pPr>
        <w:tabs>
          <w:tab w:val="left" w:pos="4935"/>
          <w:tab w:val="left" w:pos="5727"/>
        </w:tabs>
        <w:rPr>
          <w:rFonts w:ascii="Times New Roman" w:eastAsia="Times New Roman" w:hAnsi="Times New Roman" w:cs="Times New Roman"/>
          <w:sz w:val="28"/>
          <w:szCs w:val="28"/>
        </w:rPr>
      </w:pPr>
    </w:p>
    <w:p w14:paraId="08478022" w14:textId="1C1B7F35" w:rsidR="009E3A60" w:rsidRPr="009E3A60" w:rsidRDefault="009E3A60" w:rsidP="009E3A60">
      <w:pPr>
        <w:pStyle w:val="BodyText"/>
        <w:ind w:right="275" w:hanging="5"/>
        <w:jc w:val="center"/>
        <w:rPr>
          <w:rFonts w:cs="Times New Roman"/>
          <w:b/>
          <w:i/>
          <w:sz w:val="36"/>
          <w:szCs w:val="36"/>
        </w:rPr>
      </w:pPr>
      <w:r w:rsidRPr="009E3A60">
        <w:rPr>
          <w:rFonts w:cs="Times New Roman"/>
          <w:b/>
          <w:i/>
          <w:sz w:val="36"/>
          <w:szCs w:val="36"/>
        </w:rPr>
        <w:t>Schedule</w:t>
      </w:r>
      <w:r w:rsidR="00B3195B">
        <w:rPr>
          <w:rFonts w:cs="Times New Roman"/>
          <w:b/>
          <w:i/>
          <w:sz w:val="36"/>
          <w:szCs w:val="36"/>
        </w:rPr>
        <w:t xml:space="preserve"> &amp; Instructions</w:t>
      </w:r>
    </w:p>
    <w:tbl>
      <w:tblPr>
        <w:tblStyle w:val="TableGrid"/>
        <w:tblW w:w="10537" w:type="dxa"/>
        <w:tblInd w:w="-275" w:type="dxa"/>
        <w:tblLook w:val="04A0" w:firstRow="1" w:lastRow="0" w:firstColumn="1" w:lastColumn="0" w:noHBand="0" w:noVBand="1"/>
      </w:tblPr>
      <w:tblGrid>
        <w:gridCol w:w="6601"/>
        <w:gridCol w:w="2099"/>
        <w:gridCol w:w="1837"/>
      </w:tblGrid>
      <w:tr w:rsidR="007912B4" w14:paraId="7FA947D2" w14:textId="77777777" w:rsidTr="00A4337A">
        <w:trPr>
          <w:trHeight w:val="263"/>
        </w:trPr>
        <w:tc>
          <w:tcPr>
            <w:tcW w:w="6601" w:type="dxa"/>
          </w:tcPr>
          <w:p w14:paraId="3A0B410A" w14:textId="77777777" w:rsidR="00825053" w:rsidRPr="0010534F" w:rsidRDefault="00825053" w:rsidP="0010534F">
            <w:pPr>
              <w:pStyle w:val="BodyText"/>
              <w:ind w:left="0" w:right="275"/>
              <w:jc w:val="center"/>
              <w:rPr>
                <w:rFonts w:cs="Times New Roman"/>
                <w:b/>
                <w:sz w:val="24"/>
                <w:szCs w:val="24"/>
              </w:rPr>
            </w:pPr>
            <w:r w:rsidRPr="0010534F">
              <w:rPr>
                <w:rFonts w:cs="Times New Roman"/>
                <w:b/>
                <w:sz w:val="24"/>
                <w:szCs w:val="24"/>
              </w:rPr>
              <w:t>Activity</w:t>
            </w:r>
          </w:p>
        </w:tc>
        <w:tc>
          <w:tcPr>
            <w:tcW w:w="2099" w:type="dxa"/>
          </w:tcPr>
          <w:p w14:paraId="5CCAF3CF" w14:textId="77777777" w:rsidR="00825053" w:rsidRPr="0010534F" w:rsidRDefault="00825053" w:rsidP="0010534F">
            <w:pPr>
              <w:pStyle w:val="BodyText"/>
              <w:ind w:left="0" w:right="275"/>
              <w:jc w:val="center"/>
              <w:rPr>
                <w:rFonts w:cs="Times New Roman"/>
                <w:b/>
                <w:sz w:val="24"/>
                <w:szCs w:val="24"/>
              </w:rPr>
            </w:pPr>
            <w:r w:rsidRPr="0010534F">
              <w:rPr>
                <w:rFonts w:cs="Times New Roman"/>
                <w:b/>
                <w:sz w:val="24"/>
                <w:szCs w:val="24"/>
              </w:rPr>
              <w:t>Performed By</w:t>
            </w:r>
          </w:p>
        </w:tc>
        <w:tc>
          <w:tcPr>
            <w:tcW w:w="1837" w:type="dxa"/>
          </w:tcPr>
          <w:p w14:paraId="70F8462E" w14:textId="77777777" w:rsidR="00825053" w:rsidRPr="0010534F" w:rsidRDefault="00825053" w:rsidP="007912B4">
            <w:pPr>
              <w:pStyle w:val="BodyText"/>
              <w:ind w:left="0" w:right="275"/>
              <w:jc w:val="center"/>
              <w:rPr>
                <w:rFonts w:cs="Times New Roman"/>
                <w:b/>
                <w:sz w:val="24"/>
                <w:szCs w:val="24"/>
              </w:rPr>
            </w:pPr>
            <w:r w:rsidRPr="0010534F">
              <w:rPr>
                <w:rFonts w:cs="Times New Roman"/>
                <w:b/>
                <w:sz w:val="24"/>
                <w:szCs w:val="24"/>
              </w:rPr>
              <w:t>Timeframe</w:t>
            </w:r>
          </w:p>
        </w:tc>
      </w:tr>
      <w:tr w:rsidR="007912B4" w14:paraId="58C35D38" w14:textId="77777777" w:rsidTr="00A4337A">
        <w:trPr>
          <w:trHeight w:val="1612"/>
        </w:trPr>
        <w:tc>
          <w:tcPr>
            <w:tcW w:w="6601" w:type="dxa"/>
          </w:tcPr>
          <w:p w14:paraId="1C353FE6" w14:textId="389A942D" w:rsidR="00825053" w:rsidRPr="0010534F" w:rsidRDefault="00825053" w:rsidP="003E35FF">
            <w:pPr>
              <w:pStyle w:val="BodyText"/>
              <w:ind w:left="0" w:right="72"/>
              <w:rPr>
                <w:rFonts w:cs="Times New Roman"/>
                <w:sz w:val="24"/>
                <w:szCs w:val="24"/>
              </w:rPr>
            </w:pPr>
            <w:r w:rsidRPr="0010534F">
              <w:rPr>
                <w:rFonts w:cs="Times New Roman"/>
                <w:b/>
                <w:i/>
                <w:sz w:val="24"/>
                <w:szCs w:val="24"/>
              </w:rPr>
              <w:t>Assemble and distribute ICR- Assessment packages.</w:t>
            </w:r>
            <w:r w:rsidR="0010534F">
              <w:rPr>
                <w:rFonts w:cs="Times New Roman"/>
                <w:b/>
                <w:i/>
                <w:sz w:val="24"/>
                <w:szCs w:val="24"/>
              </w:rPr>
              <w:t xml:space="preserve">  </w:t>
            </w:r>
            <w:r w:rsidR="0010534F">
              <w:rPr>
                <w:rFonts w:cs="Times New Roman"/>
                <w:sz w:val="24"/>
                <w:szCs w:val="24"/>
              </w:rPr>
              <w:t>A-123 internal assessment</w:t>
            </w:r>
            <w:r w:rsidR="00EA1570">
              <w:rPr>
                <w:rFonts w:cs="Times New Roman"/>
                <w:sz w:val="24"/>
                <w:szCs w:val="24"/>
              </w:rPr>
              <w:t xml:space="preserve"> field forms for</w:t>
            </w:r>
            <w:r w:rsidR="003E35FF">
              <w:rPr>
                <w:rFonts w:cs="Times New Roman"/>
                <w:sz w:val="24"/>
                <w:szCs w:val="24"/>
              </w:rPr>
              <w:t xml:space="preserve"> the Wildfire Prevention Program</w:t>
            </w:r>
            <w:r w:rsidR="00EA1570">
              <w:rPr>
                <w:rFonts w:cs="Times New Roman"/>
                <w:sz w:val="24"/>
                <w:szCs w:val="24"/>
              </w:rPr>
              <w:t xml:space="preserve"> are developed.</w:t>
            </w:r>
            <w:r w:rsidR="0010534F">
              <w:rPr>
                <w:rFonts w:cs="Times New Roman"/>
                <w:sz w:val="24"/>
                <w:szCs w:val="24"/>
              </w:rPr>
              <w:t xml:space="preserve">  The risk management documents (RMDs</w:t>
            </w:r>
            <w:proofErr w:type="gramStart"/>
            <w:r w:rsidR="0010534F">
              <w:rPr>
                <w:rFonts w:cs="Times New Roman"/>
                <w:sz w:val="24"/>
                <w:szCs w:val="24"/>
              </w:rPr>
              <w:t>)</w:t>
            </w:r>
            <w:proofErr w:type="gramEnd"/>
            <w:r w:rsidR="0010534F">
              <w:rPr>
                <w:rFonts w:cs="Times New Roman"/>
                <w:sz w:val="24"/>
                <w:szCs w:val="24"/>
              </w:rPr>
              <w:t xml:space="preserve"> and Process Memos are used to construct field check Sheets.</w:t>
            </w:r>
          </w:p>
        </w:tc>
        <w:tc>
          <w:tcPr>
            <w:tcW w:w="2099" w:type="dxa"/>
            <w:vAlign w:val="center"/>
          </w:tcPr>
          <w:p w14:paraId="41E110BA" w14:textId="77777777" w:rsidR="00825053" w:rsidRPr="0010534F" w:rsidRDefault="0010534F" w:rsidP="00C10F21">
            <w:pPr>
              <w:pStyle w:val="BodyText"/>
              <w:ind w:left="0" w:right="275"/>
              <w:rPr>
                <w:rFonts w:cs="Times New Roman"/>
                <w:b/>
                <w:i/>
                <w:sz w:val="24"/>
                <w:szCs w:val="24"/>
              </w:rPr>
            </w:pPr>
            <w:r>
              <w:rPr>
                <w:rFonts w:cs="Times New Roman"/>
                <w:b/>
                <w:i/>
                <w:sz w:val="24"/>
                <w:szCs w:val="24"/>
              </w:rPr>
              <w:t>Central Office – Trust Services</w:t>
            </w:r>
          </w:p>
        </w:tc>
        <w:tc>
          <w:tcPr>
            <w:tcW w:w="1837" w:type="dxa"/>
            <w:vAlign w:val="center"/>
          </w:tcPr>
          <w:p w14:paraId="724B95EB" w14:textId="77777777" w:rsidR="00825053" w:rsidRPr="0010534F" w:rsidRDefault="0010534F" w:rsidP="00C10F21">
            <w:pPr>
              <w:pStyle w:val="BodyText"/>
              <w:ind w:left="0" w:right="275"/>
              <w:rPr>
                <w:rFonts w:cs="Times New Roman"/>
                <w:b/>
                <w:i/>
                <w:sz w:val="24"/>
                <w:szCs w:val="24"/>
              </w:rPr>
            </w:pPr>
            <w:r>
              <w:rPr>
                <w:rFonts w:cs="Times New Roman"/>
                <w:b/>
                <w:i/>
                <w:sz w:val="24"/>
                <w:szCs w:val="24"/>
              </w:rPr>
              <w:t>January 1</w:t>
            </w:r>
            <w:r w:rsidRPr="0010534F">
              <w:rPr>
                <w:rFonts w:cs="Times New Roman"/>
                <w:b/>
                <w:i/>
                <w:sz w:val="24"/>
                <w:szCs w:val="24"/>
                <w:vertAlign w:val="superscript"/>
              </w:rPr>
              <w:t>st</w:t>
            </w:r>
            <w:r w:rsidR="00586BA0">
              <w:rPr>
                <w:rFonts w:cs="Times New Roman"/>
                <w:b/>
                <w:i/>
                <w:sz w:val="24"/>
                <w:szCs w:val="24"/>
              </w:rPr>
              <w:t xml:space="preserve"> to March 31s</w:t>
            </w:r>
            <w:r>
              <w:rPr>
                <w:rFonts w:cs="Times New Roman"/>
                <w:b/>
                <w:i/>
                <w:sz w:val="24"/>
                <w:szCs w:val="24"/>
              </w:rPr>
              <w:t>t.</w:t>
            </w:r>
          </w:p>
        </w:tc>
      </w:tr>
      <w:tr w:rsidR="007912B4" w14:paraId="72933CCA" w14:textId="77777777" w:rsidTr="00A4337A">
        <w:trPr>
          <w:trHeight w:val="2697"/>
        </w:trPr>
        <w:tc>
          <w:tcPr>
            <w:tcW w:w="6601" w:type="dxa"/>
          </w:tcPr>
          <w:p w14:paraId="59DC0921" w14:textId="5F596115" w:rsidR="00825053" w:rsidRPr="007912B4" w:rsidRDefault="007912B4" w:rsidP="00093B49">
            <w:pPr>
              <w:pStyle w:val="BodyText"/>
              <w:ind w:left="0" w:right="275"/>
              <w:rPr>
                <w:rFonts w:cs="Times New Roman"/>
                <w:sz w:val="24"/>
                <w:szCs w:val="24"/>
              </w:rPr>
            </w:pPr>
            <w:r>
              <w:rPr>
                <w:rFonts w:cs="Times New Roman"/>
                <w:b/>
                <w:i/>
                <w:sz w:val="24"/>
                <w:szCs w:val="24"/>
              </w:rPr>
              <w:t xml:space="preserve">Perform Self-Assessment.  </w:t>
            </w:r>
            <w:r>
              <w:rPr>
                <w:rFonts w:cs="Times New Roman"/>
                <w:sz w:val="24"/>
                <w:szCs w:val="24"/>
              </w:rPr>
              <w:t xml:space="preserve">Using the ICR – Assessment packages, Agency program staff complete the self-assessment.  Assessments must identify any corrective actions required to comply with relevant statutes, regulations, policies and handbooks.  The Superintendent must certify to the Regional Director (RD):  1) that Agency trust programs are in compliance with the internal controls of the program (and state any corrective actions); 2) the accuracy and completeness of their ICR-assessments.  </w:t>
            </w:r>
          </w:p>
        </w:tc>
        <w:tc>
          <w:tcPr>
            <w:tcW w:w="2099" w:type="dxa"/>
            <w:vAlign w:val="center"/>
          </w:tcPr>
          <w:p w14:paraId="69572462" w14:textId="77777777" w:rsidR="00825053" w:rsidRPr="007912B4" w:rsidRDefault="007912B4" w:rsidP="00C10F21">
            <w:pPr>
              <w:pStyle w:val="BodyText"/>
              <w:ind w:left="0" w:right="275"/>
              <w:rPr>
                <w:rFonts w:cs="Times New Roman"/>
                <w:b/>
                <w:i/>
                <w:sz w:val="24"/>
                <w:szCs w:val="24"/>
              </w:rPr>
            </w:pPr>
            <w:r>
              <w:rPr>
                <w:rFonts w:cs="Times New Roman"/>
                <w:b/>
                <w:i/>
                <w:sz w:val="24"/>
                <w:szCs w:val="24"/>
              </w:rPr>
              <w:t>Agency Staff</w:t>
            </w:r>
          </w:p>
        </w:tc>
        <w:tc>
          <w:tcPr>
            <w:tcW w:w="1837" w:type="dxa"/>
            <w:vAlign w:val="center"/>
          </w:tcPr>
          <w:p w14:paraId="4F1BA4EF" w14:textId="77777777" w:rsidR="00825053" w:rsidRPr="007912B4" w:rsidRDefault="007912B4" w:rsidP="00C10F21">
            <w:pPr>
              <w:pStyle w:val="BodyText"/>
              <w:ind w:left="0" w:right="275"/>
              <w:rPr>
                <w:rFonts w:cs="Times New Roman"/>
                <w:b/>
                <w:i/>
                <w:sz w:val="24"/>
                <w:szCs w:val="24"/>
              </w:rPr>
            </w:pPr>
            <w:r>
              <w:rPr>
                <w:rFonts w:cs="Times New Roman"/>
                <w:b/>
                <w:i/>
                <w:sz w:val="24"/>
                <w:szCs w:val="24"/>
              </w:rPr>
              <w:t>April 1</w:t>
            </w:r>
            <w:r w:rsidRPr="007912B4">
              <w:rPr>
                <w:rFonts w:cs="Times New Roman"/>
                <w:b/>
                <w:i/>
                <w:sz w:val="24"/>
                <w:szCs w:val="24"/>
                <w:vertAlign w:val="superscript"/>
              </w:rPr>
              <w:t>st</w:t>
            </w:r>
            <w:r>
              <w:rPr>
                <w:rFonts w:cs="Times New Roman"/>
                <w:b/>
                <w:i/>
                <w:sz w:val="24"/>
                <w:szCs w:val="24"/>
              </w:rPr>
              <w:t xml:space="preserve"> to April 30th</w:t>
            </w:r>
          </w:p>
        </w:tc>
      </w:tr>
      <w:tr w:rsidR="007912B4" w14:paraId="4B923F27" w14:textId="77777777" w:rsidTr="00A4337A">
        <w:trPr>
          <w:trHeight w:val="1876"/>
        </w:trPr>
        <w:tc>
          <w:tcPr>
            <w:tcW w:w="6601" w:type="dxa"/>
          </w:tcPr>
          <w:p w14:paraId="158FF4AA" w14:textId="77777777" w:rsidR="00825053" w:rsidRPr="007912B4" w:rsidRDefault="007912B4" w:rsidP="00093B49">
            <w:pPr>
              <w:pStyle w:val="BodyText"/>
              <w:ind w:left="0" w:right="275"/>
              <w:rPr>
                <w:rFonts w:cs="Times New Roman"/>
                <w:sz w:val="24"/>
                <w:szCs w:val="24"/>
              </w:rPr>
            </w:pPr>
            <w:r>
              <w:rPr>
                <w:rFonts w:cs="Times New Roman"/>
                <w:b/>
                <w:i/>
                <w:sz w:val="24"/>
                <w:szCs w:val="24"/>
              </w:rPr>
              <w:t xml:space="preserve">Perform Site Assessments.  </w:t>
            </w:r>
            <w:r>
              <w:rPr>
                <w:rFonts w:cs="Times New Roman"/>
                <w:sz w:val="24"/>
                <w:szCs w:val="24"/>
              </w:rPr>
              <w:t xml:space="preserve">Each Region selects two Agencies to perform a site assessment, using all of the materials of the self-assessment.  This is done in conjunction with the Agency self-assessment, or after as a check of the self-assessment.  Program deficiencies must be identified in a Corrective Action Plan (CAP) of the Agency trust program.  </w:t>
            </w:r>
          </w:p>
        </w:tc>
        <w:tc>
          <w:tcPr>
            <w:tcW w:w="2099" w:type="dxa"/>
            <w:vAlign w:val="center"/>
          </w:tcPr>
          <w:p w14:paraId="4EA9EB28" w14:textId="77777777" w:rsidR="00825053" w:rsidRPr="00C37A45" w:rsidRDefault="00C37A45" w:rsidP="00C10F21">
            <w:pPr>
              <w:pStyle w:val="BodyText"/>
              <w:ind w:left="0" w:right="275"/>
              <w:rPr>
                <w:rFonts w:cs="Times New Roman"/>
                <w:b/>
                <w:i/>
                <w:sz w:val="24"/>
                <w:szCs w:val="24"/>
              </w:rPr>
            </w:pPr>
            <w:r>
              <w:rPr>
                <w:rFonts w:cs="Times New Roman"/>
                <w:b/>
                <w:i/>
                <w:sz w:val="24"/>
                <w:szCs w:val="24"/>
              </w:rPr>
              <w:t>Regional Staff</w:t>
            </w:r>
          </w:p>
        </w:tc>
        <w:tc>
          <w:tcPr>
            <w:tcW w:w="1837" w:type="dxa"/>
            <w:vAlign w:val="center"/>
          </w:tcPr>
          <w:p w14:paraId="67AF4FB8" w14:textId="0E31BAC0" w:rsidR="00825053" w:rsidRPr="00C37A45" w:rsidRDefault="00C37A45" w:rsidP="00C10F21">
            <w:pPr>
              <w:pStyle w:val="BodyText"/>
              <w:ind w:left="0" w:right="275"/>
              <w:rPr>
                <w:rFonts w:cs="Times New Roman"/>
                <w:b/>
                <w:i/>
                <w:sz w:val="24"/>
                <w:szCs w:val="24"/>
              </w:rPr>
            </w:pPr>
            <w:r>
              <w:rPr>
                <w:rFonts w:cs="Times New Roman"/>
                <w:b/>
                <w:i/>
                <w:sz w:val="24"/>
                <w:szCs w:val="24"/>
              </w:rPr>
              <w:t>April 15</w:t>
            </w:r>
            <w:r w:rsidRPr="00C37A45">
              <w:rPr>
                <w:rFonts w:cs="Times New Roman"/>
                <w:b/>
                <w:i/>
                <w:sz w:val="24"/>
                <w:szCs w:val="24"/>
                <w:vertAlign w:val="superscript"/>
              </w:rPr>
              <w:t>th</w:t>
            </w:r>
            <w:r>
              <w:rPr>
                <w:rFonts w:cs="Times New Roman"/>
                <w:b/>
                <w:i/>
                <w:sz w:val="24"/>
                <w:szCs w:val="24"/>
              </w:rPr>
              <w:t xml:space="preserve"> to May 1</w:t>
            </w:r>
            <w:r w:rsidR="00684337">
              <w:rPr>
                <w:rFonts w:cs="Times New Roman"/>
                <w:b/>
                <w:i/>
                <w:sz w:val="24"/>
                <w:szCs w:val="24"/>
              </w:rPr>
              <w:t>6</w:t>
            </w:r>
            <w:r>
              <w:rPr>
                <w:rFonts w:cs="Times New Roman"/>
                <w:b/>
                <w:i/>
                <w:sz w:val="24"/>
                <w:szCs w:val="24"/>
              </w:rPr>
              <w:t>th</w:t>
            </w:r>
          </w:p>
        </w:tc>
      </w:tr>
      <w:tr w:rsidR="007912B4" w14:paraId="32A0EC8C" w14:textId="77777777" w:rsidTr="00A4337A">
        <w:trPr>
          <w:trHeight w:val="1348"/>
        </w:trPr>
        <w:tc>
          <w:tcPr>
            <w:tcW w:w="6601" w:type="dxa"/>
          </w:tcPr>
          <w:p w14:paraId="448D97EE" w14:textId="77777777" w:rsidR="00825053" w:rsidRPr="00C37A45" w:rsidRDefault="00C37A45" w:rsidP="00093B49">
            <w:pPr>
              <w:pStyle w:val="BodyText"/>
              <w:ind w:left="0" w:right="275"/>
              <w:rPr>
                <w:rFonts w:cs="Times New Roman"/>
                <w:sz w:val="24"/>
                <w:szCs w:val="24"/>
              </w:rPr>
            </w:pPr>
            <w:r>
              <w:rPr>
                <w:rFonts w:cs="Times New Roman"/>
                <w:b/>
                <w:i/>
                <w:sz w:val="24"/>
                <w:szCs w:val="24"/>
              </w:rPr>
              <w:t xml:space="preserve">Compile Assessment Results.  </w:t>
            </w:r>
            <w:r w:rsidR="00C10F21">
              <w:rPr>
                <w:rFonts w:cs="Times New Roman"/>
                <w:sz w:val="24"/>
                <w:szCs w:val="24"/>
              </w:rPr>
              <w:t>Each Region compiles all self-assessments and site assessments, together with all supporting documentation.  The Deputy RD – Trust prepares a summary for the RD describing successful assessments, program deficiencies, and any CAPs.</w:t>
            </w:r>
          </w:p>
        </w:tc>
        <w:tc>
          <w:tcPr>
            <w:tcW w:w="2099" w:type="dxa"/>
            <w:vAlign w:val="center"/>
          </w:tcPr>
          <w:p w14:paraId="070A5A5C" w14:textId="77777777" w:rsidR="00825053" w:rsidRDefault="00C10F21" w:rsidP="00C10F21">
            <w:pPr>
              <w:pStyle w:val="BodyText"/>
              <w:ind w:left="0" w:right="275"/>
              <w:rPr>
                <w:rFonts w:cs="Times New Roman"/>
                <w:sz w:val="24"/>
                <w:szCs w:val="24"/>
              </w:rPr>
            </w:pPr>
            <w:r>
              <w:rPr>
                <w:rFonts w:cs="Times New Roman"/>
                <w:b/>
                <w:i/>
                <w:sz w:val="24"/>
                <w:szCs w:val="24"/>
              </w:rPr>
              <w:t>Regional Staff</w:t>
            </w:r>
          </w:p>
        </w:tc>
        <w:tc>
          <w:tcPr>
            <w:tcW w:w="1837" w:type="dxa"/>
            <w:vAlign w:val="center"/>
          </w:tcPr>
          <w:p w14:paraId="3339272E" w14:textId="41430FB6" w:rsidR="00825053" w:rsidRPr="00C10F21" w:rsidRDefault="00C10F21" w:rsidP="00C10F21">
            <w:pPr>
              <w:pStyle w:val="BodyText"/>
              <w:ind w:left="0" w:right="275"/>
              <w:rPr>
                <w:rFonts w:cs="Times New Roman"/>
                <w:b/>
                <w:i/>
                <w:sz w:val="24"/>
                <w:szCs w:val="24"/>
              </w:rPr>
            </w:pPr>
            <w:r>
              <w:rPr>
                <w:rFonts w:cs="Times New Roman"/>
                <w:b/>
                <w:i/>
                <w:sz w:val="24"/>
                <w:szCs w:val="24"/>
              </w:rPr>
              <w:t>May 1</w:t>
            </w:r>
            <w:r w:rsidR="00684337">
              <w:rPr>
                <w:rFonts w:cs="Times New Roman"/>
                <w:b/>
                <w:i/>
                <w:sz w:val="24"/>
                <w:szCs w:val="24"/>
              </w:rPr>
              <w:t>6</w:t>
            </w:r>
            <w:r w:rsidRPr="00C10F21">
              <w:rPr>
                <w:rFonts w:cs="Times New Roman"/>
                <w:b/>
                <w:i/>
                <w:sz w:val="24"/>
                <w:szCs w:val="24"/>
                <w:vertAlign w:val="superscript"/>
              </w:rPr>
              <w:t>th</w:t>
            </w:r>
            <w:r w:rsidR="00C21CE4">
              <w:rPr>
                <w:rFonts w:cs="Times New Roman"/>
                <w:b/>
                <w:i/>
                <w:sz w:val="24"/>
                <w:szCs w:val="24"/>
              </w:rPr>
              <w:t xml:space="preserve"> to June 1</w:t>
            </w:r>
            <w:r>
              <w:rPr>
                <w:rFonts w:cs="Times New Roman"/>
                <w:b/>
                <w:i/>
                <w:sz w:val="24"/>
                <w:szCs w:val="24"/>
              </w:rPr>
              <w:t>st</w:t>
            </w:r>
          </w:p>
        </w:tc>
      </w:tr>
      <w:tr w:rsidR="007912B4" w14:paraId="6CEC5C92" w14:textId="77777777" w:rsidTr="00A4337A">
        <w:trPr>
          <w:trHeight w:val="1348"/>
        </w:trPr>
        <w:tc>
          <w:tcPr>
            <w:tcW w:w="6601" w:type="dxa"/>
          </w:tcPr>
          <w:p w14:paraId="629F92B8" w14:textId="77777777" w:rsidR="00825053" w:rsidRPr="00C10F21" w:rsidRDefault="00C10F21" w:rsidP="00C10F21">
            <w:pPr>
              <w:pStyle w:val="BodyText"/>
              <w:ind w:left="0" w:right="162"/>
              <w:rPr>
                <w:rFonts w:cs="Times New Roman"/>
                <w:sz w:val="24"/>
                <w:szCs w:val="24"/>
              </w:rPr>
            </w:pPr>
            <w:r>
              <w:rPr>
                <w:rFonts w:cs="Times New Roman"/>
                <w:b/>
                <w:i/>
                <w:sz w:val="24"/>
                <w:szCs w:val="24"/>
              </w:rPr>
              <w:t xml:space="preserve">Certify Regional Assessments and Corrective Actions.  </w:t>
            </w:r>
            <w:r>
              <w:rPr>
                <w:rFonts w:cs="Times New Roman"/>
                <w:sz w:val="24"/>
                <w:szCs w:val="24"/>
              </w:rPr>
              <w:t xml:space="preserve">RDs submit certifications to the Director, BIA (DBIA) that Agency self-assessments and on-site assessments accurately describe the assessed program components, and that deficiencies are being addressed in CAPs.  </w:t>
            </w:r>
          </w:p>
        </w:tc>
        <w:tc>
          <w:tcPr>
            <w:tcW w:w="2099" w:type="dxa"/>
            <w:vAlign w:val="center"/>
          </w:tcPr>
          <w:p w14:paraId="1ECC9136" w14:textId="77777777" w:rsidR="00825053" w:rsidRPr="00056BA8" w:rsidRDefault="00056BA8" w:rsidP="00C10F21">
            <w:pPr>
              <w:pStyle w:val="BodyText"/>
              <w:ind w:left="0" w:right="275"/>
              <w:rPr>
                <w:rFonts w:cs="Times New Roman"/>
                <w:b/>
                <w:i/>
                <w:sz w:val="24"/>
                <w:szCs w:val="24"/>
              </w:rPr>
            </w:pPr>
            <w:r>
              <w:rPr>
                <w:rFonts w:cs="Times New Roman"/>
                <w:b/>
                <w:i/>
                <w:sz w:val="24"/>
                <w:szCs w:val="24"/>
              </w:rPr>
              <w:t>Regional Directors</w:t>
            </w:r>
          </w:p>
        </w:tc>
        <w:tc>
          <w:tcPr>
            <w:tcW w:w="1837" w:type="dxa"/>
            <w:vAlign w:val="center"/>
          </w:tcPr>
          <w:p w14:paraId="28EB7B77" w14:textId="4CFD2D0D" w:rsidR="00825053" w:rsidRPr="00056BA8" w:rsidRDefault="00C21CE4" w:rsidP="00C10F21">
            <w:pPr>
              <w:pStyle w:val="BodyText"/>
              <w:ind w:left="0" w:right="275"/>
              <w:rPr>
                <w:rFonts w:cs="Times New Roman"/>
                <w:b/>
                <w:i/>
                <w:sz w:val="24"/>
                <w:szCs w:val="24"/>
              </w:rPr>
            </w:pPr>
            <w:r>
              <w:rPr>
                <w:rFonts w:cs="Times New Roman"/>
                <w:b/>
                <w:i/>
                <w:sz w:val="24"/>
                <w:szCs w:val="24"/>
              </w:rPr>
              <w:t xml:space="preserve">By June </w:t>
            </w:r>
            <w:r w:rsidR="0021287E">
              <w:rPr>
                <w:rFonts w:cs="Times New Roman"/>
                <w:b/>
                <w:i/>
                <w:sz w:val="24"/>
                <w:szCs w:val="24"/>
              </w:rPr>
              <w:t>3rd</w:t>
            </w:r>
          </w:p>
        </w:tc>
      </w:tr>
      <w:tr w:rsidR="007912B4" w14:paraId="7A6259CB" w14:textId="77777777" w:rsidTr="00A4337A">
        <w:trPr>
          <w:trHeight w:val="2961"/>
        </w:trPr>
        <w:tc>
          <w:tcPr>
            <w:tcW w:w="6601" w:type="dxa"/>
          </w:tcPr>
          <w:p w14:paraId="42A82CCC" w14:textId="77777777" w:rsidR="00825053" w:rsidRPr="00056BA8" w:rsidRDefault="00056BA8" w:rsidP="00093B49">
            <w:pPr>
              <w:pStyle w:val="BodyText"/>
              <w:ind w:left="0" w:right="275"/>
              <w:rPr>
                <w:rFonts w:cs="Times New Roman"/>
                <w:sz w:val="24"/>
                <w:szCs w:val="24"/>
              </w:rPr>
            </w:pPr>
            <w:r>
              <w:rPr>
                <w:rFonts w:cs="Times New Roman"/>
                <w:b/>
                <w:i/>
                <w:sz w:val="24"/>
                <w:szCs w:val="24"/>
              </w:rPr>
              <w:t xml:space="preserve">Certify Program Assessments and Corrective Actions.  </w:t>
            </w:r>
            <w:r>
              <w:rPr>
                <w:rFonts w:cs="Times New Roman"/>
                <w:sz w:val="24"/>
                <w:szCs w:val="24"/>
              </w:rPr>
              <w:t xml:space="preserve">The DBIA submits to the Central Office Trust Division Chiefs each RD certified report and supporting ICR documents.  The Division Chiefs review the packages for completeness and compliance with ICR activities, identified deficiencies and CAPs.  Division Chiefs then certify to the Deputy Bureau Director – Trust (DBD – Trust) that the Regional ICR assessments are in compliance with trust program internal controls and that program deficiencies are being corrected by Agency actions.  </w:t>
            </w:r>
          </w:p>
        </w:tc>
        <w:tc>
          <w:tcPr>
            <w:tcW w:w="2099" w:type="dxa"/>
            <w:vAlign w:val="center"/>
          </w:tcPr>
          <w:p w14:paraId="48CB6D58" w14:textId="77777777" w:rsidR="00825053" w:rsidRPr="00056BA8" w:rsidRDefault="00056BA8" w:rsidP="00056BA8">
            <w:pPr>
              <w:pStyle w:val="BodyText"/>
              <w:ind w:left="0" w:right="275"/>
              <w:rPr>
                <w:rFonts w:cs="Times New Roman"/>
                <w:b/>
                <w:i/>
                <w:sz w:val="24"/>
                <w:szCs w:val="24"/>
              </w:rPr>
            </w:pPr>
            <w:r>
              <w:rPr>
                <w:rFonts w:cs="Times New Roman"/>
                <w:b/>
                <w:i/>
                <w:sz w:val="24"/>
                <w:szCs w:val="24"/>
              </w:rPr>
              <w:t>Central Office Division Chiefs</w:t>
            </w:r>
          </w:p>
        </w:tc>
        <w:tc>
          <w:tcPr>
            <w:tcW w:w="1837" w:type="dxa"/>
            <w:vAlign w:val="center"/>
          </w:tcPr>
          <w:p w14:paraId="3F2E9DA3" w14:textId="77777777" w:rsidR="00825053" w:rsidRPr="00056BA8" w:rsidRDefault="00C21CE4" w:rsidP="00056BA8">
            <w:pPr>
              <w:pStyle w:val="BodyText"/>
              <w:ind w:left="0" w:right="275"/>
              <w:rPr>
                <w:rFonts w:cs="Times New Roman"/>
                <w:b/>
                <w:i/>
                <w:sz w:val="24"/>
                <w:szCs w:val="24"/>
              </w:rPr>
            </w:pPr>
            <w:r>
              <w:rPr>
                <w:rFonts w:cs="Times New Roman"/>
                <w:b/>
                <w:i/>
                <w:sz w:val="24"/>
                <w:szCs w:val="24"/>
              </w:rPr>
              <w:t>By June 22nd</w:t>
            </w:r>
          </w:p>
        </w:tc>
      </w:tr>
      <w:tr w:rsidR="007912B4" w14:paraId="4F3AAA19" w14:textId="77777777" w:rsidTr="00A4337A">
        <w:trPr>
          <w:trHeight w:val="1334"/>
        </w:trPr>
        <w:tc>
          <w:tcPr>
            <w:tcW w:w="6601" w:type="dxa"/>
          </w:tcPr>
          <w:p w14:paraId="2A1BA9F2" w14:textId="77777777" w:rsidR="00825053" w:rsidRPr="00056BA8" w:rsidRDefault="00056BA8" w:rsidP="00093B49">
            <w:pPr>
              <w:pStyle w:val="BodyText"/>
              <w:ind w:left="0" w:right="275"/>
              <w:rPr>
                <w:rFonts w:cs="Times New Roman"/>
                <w:sz w:val="24"/>
                <w:szCs w:val="24"/>
              </w:rPr>
            </w:pPr>
            <w:r>
              <w:rPr>
                <w:rFonts w:cs="Times New Roman"/>
                <w:b/>
                <w:i/>
                <w:sz w:val="24"/>
                <w:szCs w:val="24"/>
              </w:rPr>
              <w:t xml:space="preserve">Certify Trust Assessment and Corrective Actions.  </w:t>
            </w:r>
            <w:r>
              <w:rPr>
                <w:rFonts w:cs="Times New Roman"/>
                <w:sz w:val="24"/>
                <w:szCs w:val="24"/>
              </w:rPr>
              <w:t>The DBD-Trust compiles the Trust Program ICR packages, certifies the same to the DBIA, and with Division Chief assistance, transmits the packages and certifications to the Office of Internal Evaluation &amp; Assessment.</w:t>
            </w:r>
          </w:p>
        </w:tc>
        <w:tc>
          <w:tcPr>
            <w:tcW w:w="2099" w:type="dxa"/>
            <w:vAlign w:val="center"/>
          </w:tcPr>
          <w:p w14:paraId="025383A8" w14:textId="77777777" w:rsidR="00825053" w:rsidRPr="00056BA8" w:rsidRDefault="00056BA8" w:rsidP="00056BA8">
            <w:pPr>
              <w:pStyle w:val="BodyText"/>
              <w:ind w:left="0" w:right="275"/>
              <w:rPr>
                <w:rFonts w:cs="Times New Roman"/>
                <w:b/>
                <w:i/>
                <w:sz w:val="24"/>
                <w:szCs w:val="24"/>
              </w:rPr>
            </w:pPr>
            <w:r>
              <w:rPr>
                <w:rFonts w:cs="Times New Roman"/>
                <w:b/>
                <w:i/>
                <w:sz w:val="24"/>
                <w:szCs w:val="24"/>
              </w:rPr>
              <w:t>Deputy Bureau Director, Trust Services</w:t>
            </w:r>
          </w:p>
        </w:tc>
        <w:tc>
          <w:tcPr>
            <w:tcW w:w="1837" w:type="dxa"/>
            <w:vAlign w:val="center"/>
          </w:tcPr>
          <w:p w14:paraId="58EE763B" w14:textId="36F1D91A" w:rsidR="00825053" w:rsidRPr="00056BA8" w:rsidRDefault="00056BA8">
            <w:pPr>
              <w:pStyle w:val="BodyText"/>
              <w:ind w:left="0" w:right="275"/>
              <w:rPr>
                <w:rFonts w:cs="Times New Roman"/>
                <w:b/>
                <w:i/>
                <w:sz w:val="24"/>
                <w:szCs w:val="24"/>
              </w:rPr>
            </w:pPr>
            <w:r>
              <w:rPr>
                <w:rFonts w:cs="Times New Roman"/>
                <w:b/>
                <w:i/>
                <w:sz w:val="24"/>
                <w:szCs w:val="24"/>
              </w:rPr>
              <w:t xml:space="preserve">By June </w:t>
            </w:r>
            <w:r w:rsidR="0021287E">
              <w:rPr>
                <w:rFonts w:cs="Times New Roman"/>
                <w:b/>
                <w:i/>
                <w:sz w:val="24"/>
                <w:szCs w:val="24"/>
              </w:rPr>
              <w:t>29</w:t>
            </w:r>
            <w:r>
              <w:rPr>
                <w:rFonts w:cs="Times New Roman"/>
                <w:b/>
                <w:i/>
                <w:sz w:val="24"/>
                <w:szCs w:val="24"/>
              </w:rPr>
              <w:t>th</w:t>
            </w:r>
          </w:p>
        </w:tc>
      </w:tr>
    </w:tbl>
    <w:p w14:paraId="189C6ACF" w14:textId="77777777" w:rsidR="00825053" w:rsidRPr="00093B49" w:rsidRDefault="00825053" w:rsidP="00FC7467">
      <w:pPr>
        <w:pStyle w:val="BodyText"/>
        <w:ind w:left="0" w:right="275"/>
        <w:rPr>
          <w:rFonts w:cs="Times New Roman"/>
          <w:sz w:val="24"/>
          <w:szCs w:val="24"/>
        </w:rPr>
      </w:pPr>
    </w:p>
    <w:sectPr w:rsidR="00825053" w:rsidRPr="00093B49" w:rsidSect="00A4337A">
      <w:type w:val="continuous"/>
      <w:pgSz w:w="12274" w:h="16120"/>
      <w:pgMar w:top="360" w:right="136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551A" w14:textId="77777777" w:rsidR="00AE326D" w:rsidRDefault="00AE326D" w:rsidP="00A4337A">
      <w:r>
        <w:separator/>
      </w:r>
    </w:p>
  </w:endnote>
  <w:endnote w:type="continuationSeparator" w:id="0">
    <w:p w14:paraId="5E5F8B2B" w14:textId="77777777" w:rsidR="00AE326D" w:rsidRDefault="00AE326D" w:rsidP="00A4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AAC7" w14:textId="77777777" w:rsidR="00AE326D" w:rsidRDefault="00AE326D" w:rsidP="00A4337A">
      <w:r>
        <w:separator/>
      </w:r>
    </w:p>
  </w:footnote>
  <w:footnote w:type="continuationSeparator" w:id="0">
    <w:p w14:paraId="336F1E37" w14:textId="77777777" w:rsidR="00AE326D" w:rsidRDefault="00AE326D" w:rsidP="00A43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5C"/>
    <w:rsid w:val="00056BA8"/>
    <w:rsid w:val="00064E7B"/>
    <w:rsid w:val="00073D5C"/>
    <w:rsid w:val="00093B49"/>
    <w:rsid w:val="000950C1"/>
    <w:rsid w:val="000A0C94"/>
    <w:rsid w:val="000B4514"/>
    <w:rsid w:val="000C0ABD"/>
    <w:rsid w:val="0010534F"/>
    <w:rsid w:val="001365B1"/>
    <w:rsid w:val="00181194"/>
    <w:rsid w:val="00192D00"/>
    <w:rsid w:val="001D2C66"/>
    <w:rsid w:val="001F3E16"/>
    <w:rsid w:val="0021287E"/>
    <w:rsid w:val="002469B7"/>
    <w:rsid w:val="002D0BA5"/>
    <w:rsid w:val="003049E0"/>
    <w:rsid w:val="00331F2E"/>
    <w:rsid w:val="00374382"/>
    <w:rsid w:val="003E35FF"/>
    <w:rsid w:val="00465F3C"/>
    <w:rsid w:val="00487213"/>
    <w:rsid w:val="004D550F"/>
    <w:rsid w:val="005575ED"/>
    <w:rsid w:val="00572F97"/>
    <w:rsid w:val="00586BA0"/>
    <w:rsid w:val="005C75E7"/>
    <w:rsid w:val="006401B2"/>
    <w:rsid w:val="00684337"/>
    <w:rsid w:val="007538A6"/>
    <w:rsid w:val="00775AC5"/>
    <w:rsid w:val="007861B9"/>
    <w:rsid w:val="007912B4"/>
    <w:rsid w:val="00803596"/>
    <w:rsid w:val="00825053"/>
    <w:rsid w:val="009302D9"/>
    <w:rsid w:val="0094238F"/>
    <w:rsid w:val="009B1277"/>
    <w:rsid w:val="009E3A60"/>
    <w:rsid w:val="009F427A"/>
    <w:rsid w:val="00A4337A"/>
    <w:rsid w:val="00AA390F"/>
    <w:rsid w:val="00AB3EE4"/>
    <w:rsid w:val="00AE326D"/>
    <w:rsid w:val="00B1620B"/>
    <w:rsid w:val="00B3195B"/>
    <w:rsid w:val="00BA4B46"/>
    <w:rsid w:val="00C10F21"/>
    <w:rsid w:val="00C21CE4"/>
    <w:rsid w:val="00C304D5"/>
    <w:rsid w:val="00C37A45"/>
    <w:rsid w:val="00C654E2"/>
    <w:rsid w:val="00D842A6"/>
    <w:rsid w:val="00DA411A"/>
    <w:rsid w:val="00E469DC"/>
    <w:rsid w:val="00E527C6"/>
    <w:rsid w:val="00E751AF"/>
    <w:rsid w:val="00E83354"/>
    <w:rsid w:val="00EA1570"/>
    <w:rsid w:val="00F3691D"/>
    <w:rsid w:val="00FA34A8"/>
    <w:rsid w:val="00FB2DFC"/>
    <w:rsid w:val="00FC6A67"/>
    <w:rsid w:val="00FC7467"/>
    <w:rsid w:val="00FD15A8"/>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1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8"/>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82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11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194"/>
    <w:rPr>
      <w:rFonts w:ascii="Segoe UI" w:hAnsi="Segoe UI" w:cs="Segoe UI"/>
      <w:sz w:val="18"/>
      <w:szCs w:val="18"/>
    </w:rPr>
  </w:style>
  <w:style w:type="character" w:styleId="CommentReference">
    <w:name w:val="annotation reference"/>
    <w:basedOn w:val="DefaultParagraphFont"/>
    <w:uiPriority w:val="99"/>
    <w:semiHidden/>
    <w:unhideWhenUsed/>
    <w:rsid w:val="009F427A"/>
    <w:rPr>
      <w:sz w:val="16"/>
      <w:szCs w:val="16"/>
    </w:rPr>
  </w:style>
  <w:style w:type="paragraph" w:styleId="CommentText">
    <w:name w:val="annotation text"/>
    <w:basedOn w:val="Normal"/>
    <w:link w:val="CommentTextChar"/>
    <w:uiPriority w:val="99"/>
    <w:semiHidden/>
    <w:unhideWhenUsed/>
    <w:rsid w:val="009F427A"/>
    <w:rPr>
      <w:sz w:val="20"/>
      <w:szCs w:val="20"/>
    </w:rPr>
  </w:style>
  <w:style w:type="character" w:customStyle="1" w:styleId="CommentTextChar">
    <w:name w:val="Comment Text Char"/>
    <w:basedOn w:val="DefaultParagraphFont"/>
    <w:link w:val="CommentText"/>
    <w:uiPriority w:val="99"/>
    <w:semiHidden/>
    <w:rsid w:val="009F427A"/>
    <w:rPr>
      <w:sz w:val="20"/>
      <w:szCs w:val="20"/>
    </w:rPr>
  </w:style>
  <w:style w:type="paragraph" w:styleId="CommentSubject">
    <w:name w:val="annotation subject"/>
    <w:basedOn w:val="CommentText"/>
    <w:next w:val="CommentText"/>
    <w:link w:val="CommentSubjectChar"/>
    <w:uiPriority w:val="99"/>
    <w:semiHidden/>
    <w:unhideWhenUsed/>
    <w:rsid w:val="009F427A"/>
    <w:rPr>
      <w:b/>
      <w:bCs/>
    </w:rPr>
  </w:style>
  <w:style w:type="character" w:customStyle="1" w:styleId="CommentSubjectChar">
    <w:name w:val="Comment Subject Char"/>
    <w:basedOn w:val="CommentTextChar"/>
    <w:link w:val="CommentSubject"/>
    <w:uiPriority w:val="99"/>
    <w:semiHidden/>
    <w:rsid w:val="009F427A"/>
    <w:rPr>
      <w:b/>
      <w:bCs/>
      <w:sz w:val="20"/>
      <w:szCs w:val="20"/>
    </w:rPr>
  </w:style>
  <w:style w:type="paragraph" w:styleId="Header">
    <w:name w:val="header"/>
    <w:basedOn w:val="Normal"/>
    <w:link w:val="HeaderChar"/>
    <w:uiPriority w:val="99"/>
    <w:unhideWhenUsed/>
    <w:rsid w:val="00A4337A"/>
    <w:pPr>
      <w:tabs>
        <w:tab w:val="center" w:pos="4680"/>
        <w:tab w:val="right" w:pos="9360"/>
      </w:tabs>
    </w:pPr>
  </w:style>
  <w:style w:type="character" w:customStyle="1" w:styleId="HeaderChar">
    <w:name w:val="Header Char"/>
    <w:basedOn w:val="DefaultParagraphFont"/>
    <w:link w:val="Header"/>
    <w:uiPriority w:val="99"/>
    <w:rsid w:val="00A4337A"/>
  </w:style>
  <w:style w:type="paragraph" w:styleId="Footer">
    <w:name w:val="footer"/>
    <w:basedOn w:val="Normal"/>
    <w:link w:val="FooterChar"/>
    <w:uiPriority w:val="99"/>
    <w:unhideWhenUsed/>
    <w:rsid w:val="00A4337A"/>
    <w:pPr>
      <w:tabs>
        <w:tab w:val="center" w:pos="4680"/>
        <w:tab w:val="right" w:pos="9360"/>
      </w:tabs>
    </w:pPr>
  </w:style>
  <w:style w:type="character" w:customStyle="1" w:styleId="FooterChar">
    <w:name w:val="Footer Char"/>
    <w:basedOn w:val="DefaultParagraphFont"/>
    <w:link w:val="Footer"/>
    <w:uiPriority w:val="99"/>
    <w:rsid w:val="00A4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2022-02-16T01:10:00Z</dcterms:created>
  <dcterms:modified xsi:type="dcterms:W3CDTF">2022-02-16T01:11:00Z</dcterms:modified>
</cp:coreProperties>
</file>