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43" w:rsidRPr="00384F19" w:rsidRDefault="00355D43" w:rsidP="00355D43">
      <w:pPr>
        <w:pStyle w:val="NoSpacing"/>
        <w:rPr>
          <w:b/>
          <w:sz w:val="36"/>
          <w:szCs w:val="36"/>
        </w:rPr>
      </w:pPr>
      <w:bookmarkStart w:id="0" w:name="_GoBack"/>
      <w:bookmarkEnd w:id="0"/>
      <w:r w:rsidRPr="00384F19">
        <w:rPr>
          <w:b/>
          <w:sz w:val="36"/>
          <w:szCs w:val="36"/>
          <w:u w:val="single"/>
        </w:rPr>
        <w:t xml:space="preserve">TTP </w:t>
      </w:r>
      <w:r w:rsidR="00717030" w:rsidRPr="00384F19">
        <w:rPr>
          <w:b/>
          <w:sz w:val="36"/>
          <w:szCs w:val="36"/>
          <w:u w:val="single"/>
        </w:rPr>
        <w:t xml:space="preserve">Appendices </w:t>
      </w:r>
      <w:r w:rsidRPr="00384F19">
        <w:rPr>
          <w:b/>
          <w:sz w:val="36"/>
          <w:szCs w:val="36"/>
          <w:u w:val="single"/>
        </w:rPr>
        <w:t>Information of Tribal Interest</w:t>
      </w:r>
      <w:r w:rsidR="00717030" w:rsidRPr="00384F19">
        <w:rPr>
          <w:b/>
          <w:sz w:val="36"/>
          <w:szCs w:val="36"/>
          <w:u w:val="single"/>
        </w:rPr>
        <w:t xml:space="preserve"> as referenced in the NPRM dated December 19, 2014 </w:t>
      </w:r>
    </w:p>
    <w:p w:rsidR="00355D43" w:rsidRDefault="00355D43" w:rsidP="00355D43">
      <w:pPr>
        <w:pStyle w:val="NoSpacing"/>
        <w:rPr>
          <w:b/>
        </w:rPr>
      </w:pPr>
    </w:p>
    <w:p w:rsidR="007A3F96" w:rsidRPr="00384F19" w:rsidRDefault="007A3F96" w:rsidP="00355D43">
      <w:pPr>
        <w:pStyle w:val="NoSpacing"/>
        <w:rPr>
          <w:b/>
          <w:u w:val="single"/>
        </w:rPr>
      </w:pPr>
      <w:r w:rsidRPr="00384F19">
        <w:rPr>
          <w:b/>
          <w:u w:val="single"/>
        </w:rPr>
        <w:t>Sources of Tribal Transportation Training and Education Opportunities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color w:val="000000"/>
        </w:rPr>
      </w:pPr>
      <w:r w:rsidRPr="007A3F96">
        <w:rPr>
          <w:color w:val="000000"/>
        </w:rPr>
        <w:t xml:space="preserve">The following is a list of some of the many governmental sources for tribal transportation training and education opportunities. </w:t>
      </w:r>
      <w:r w:rsidR="00355D43">
        <w:rPr>
          <w:color w:val="000000"/>
        </w:rPr>
        <w:t xml:space="preserve"> </w:t>
      </w:r>
      <w:r w:rsidRPr="007A3F96">
        <w:rPr>
          <w:color w:val="000000"/>
        </w:rPr>
        <w:t xml:space="preserve">There may be other nongovernmental, tribal, or private sources not listed here. </w:t>
      </w:r>
    </w:p>
    <w:p w:rsidR="00355D43" w:rsidRDefault="00355D43" w:rsidP="007A3F96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</w:rPr>
      </w:pP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1. National Highway Institute training courses and fellowships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2. State and local technical assistance program workshops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3. Indian local technical assistance program workshops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4. FHWA and FTA Research Fellowships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5. Dwight David Eisenhower Transportation Fellowship (23 U.S.C. 504)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6. Intergovernmental personnel agreement assignments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7. BIA transportation cooperative education program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8. BIA force account operations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9. Federal Transit Administration workshops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10. State Departments of Transportation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11. Federal-aid highway construction and technology training including skill improvement programs under </w:t>
      </w:r>
      <w:r w:rsidR="00355D43">
        <w:rPr>
          <w:color w:val="000000"/>
        </w:rPr>
        <w:t xml:space="preserve">    </w:t>
      </w:r>
      <w:r w:rsidR="00355D43">
        <w:rPr>
          <w:color w:val="000000"/>
        </w:rPr>
        <w:tab/>
      </w:r>
      <w:r w:rsidRPr="007A3F96">
        <w:rPr>
          <w:color w:val="000000"/>
        </w:rPr>
        <w:t xml:space="preserve">23 U.S.C. 140 (b)(c)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12. Other funding sources identified in § 170.150 (Transit)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13. Department of Labor work force development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14. Indian Employment, Training, and Related Services Demonstration Act, Public Law 102–477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15. Garrett Morgan Scholarship (FHWA)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16. NTRC—National Transit Resource Center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17. CTER—Council for Tribal Employment Rights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18. BIA Indian Highway Safety Program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19. FHWA/STIPDG and NSTISS Student Internship Programs (Summer Transportation Internship Program </w:t>
      </w:r>
      <w:r w:rsidR="00355D43">
        <w:rPr>
          <w:color w:val="000000"/>
        </w:rPr>
        <w:tab/>
      </w:r>
      <w:r w:rsidRPr="007A3F96">
        <w:rPr>
          <w:color w:val="000000"/>
        </w:rPr>
        <w:t xml:space="preserve">for Diverse Groups and National Summer Transportation Institute for Secondary Students)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20. Environmental Protection Agency (EPA)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21. Department of Commerce (DOC)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>22. Department of Housing and Urban Development Community Planning and Development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</w:pPr>
      <w:r w:rsidRPr="007A3F96">
        <w:tab/>
      </w:r>
    </w:p>
    <w:p w:rsidR="007A3F96" w:rsidRPr="00355D43" w:rsidRDefault="007A3F96" w:rsidP="007A3F96">
      <w:pPr>
        <w:widowControl w:val="0"/>
        <w:tabs>
          <w:tab w:val="left" w:pos="90"/>
          <w:tab w:val="left" w:pos="960"/>
        </w:tabs>
        <w:autoSpaceDE w:val="0"/>
        <w:autoSpaceDN w:val="0"/>
        <w:adjustRightInd w:val="0"/>
        <w:spacing w:before="60"/>
        <w:rPr>
          <w:b/>
          <w:bCs/>
          <w:color w:val="000000"/>
          <w:u w:val="single"/>
        </w:rPr>
      </w:pPr>
      <w:r w:rsidRPr="00355D43">
        <w:rPr>
          <w:b/>
          <w:bCs/>
          <w:color w:val="000000"/>
          <w:u w:val="single"/>
        </w:rPr>
        <w:t>Cultural Resource and Environmental Requirements for the TTP Program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color w:val="000000"/>
        </w:rPr>
      </w:pPr>
      <w:r w:rsidRPr="007A3F96">
        <w:rPr>
          <w:color w:val="000000"/>
        </w:rPr>
        <w:t>All BIA work for the T</w:t>
      </w:r>
      <w:r w:rsidR="00355D43">
        <w:rPr>
          <w:color w:val="000000"/>
        </w:rPr>
        <w:t xml:space="preserve">ribal Transportation </w:t>
      </w:r>
      <w:r w:rsidRPr="007A3F96">
        <w:rPr>
          <w:color w:val="000000"/>
        </w:rPr>
        <w:t xml:space="preserve">Program must comply with cultural resource and environmental requirements under applicable Federal laws and regulations, including, but not limited to: </w:t>
      </w:r>
    </w:p>
    <w:p w:rsidR="006F7891" w:rsidRDefault="006F7891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1. 16 U.S.C. 1531, Endangered Species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2. 16 U.S.C. 4601, Land and Water Conservation Fund Act (Section 6(f)).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3. 16 U.S.C. 661–667d, Fish and Wildlife Coordination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4. 23 U.S.C. 138, Preservation of Parklands.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5. 25 U.S.C. 3001–3013, Native American Graves Protection and Repatriation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6. 33 U.S.C. 1251, Federal Water Pollution Control Act and Clean Water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7. 42 U.S.C. 7401, Clean Air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8. 42 U.S.C. 4321, National Environmental Policy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9. 49 U.S.C. 303, Preservation of Parklands.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10. 7 U.S.C. 4201, Farmland Protection Policy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11. 50 CFR part 402, Endangered Species Act regulations.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12. 7 CFR part 658, Farmland Protection Policy Act regulations.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13. 40 CFR part 93, Air Quality Conformity and Priority Procedures for use in Federal-aid Highway and </w:t>
      </w:r>
      <w:r w:rsidR="00355D43">
        <w:rPr>
          <w:color w:val="000000"/>
        </w:rPr>
        <w:tab/>
      </w:r>
      <w:r w:rsidRPr="007A3F96">
        <w:rPr>
          <w:color w:val="000000"/>
        </w:rPr>
        <w:t xml:space="preserve">Federally-Funded Transit Programs.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14. 23 CFR part 771, Environmental Impact and Related Procedures.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15. 23 CFR part 772, Procedures for Abatement of Highway Traffic Noises and Construction Noises.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16. 23 CFR part 777, Mitigation of Impacts </w:t>
      </w:r>
      <w:r w:rsidR="00F84D95" w:rsidRPr="007A3F96">
        <w:rPr>
          <w:color w:val="000000"/>
        </w:rPr>
        <w:t>to</w:t>
      </w:r>
      <w:r w:rsidRPr="007A3F96">
        <w:rPr>
          <w:color w:val="000000"/>
        </w:rPr>
        <w:t xml:space="preserve"> Wetlands and Natural Habitat.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17. 36 CFR part 800, Protection of Historic Properties.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18. 40 CFR parts 260–271, Resource Conservation and Recovery Act.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19. Applicable tribal/State laws. </w:t>
      </w:r>
    </w:p>
    <w:p w:rsidR="007A3F96" w:rsidRPr="007A3F96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>20. Other applicable Federal laws and regulations.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i/>
          <w:iCs/>
          <w:color w:val="000080"/>
        </w:rPr>
      </w:pPr>
      <w:r w:rsidRPr="007A3F96">
        <w:rPr>
          <w:color w:val="000000"/>
        </w:rPr>
        <w:t xml:space="preserve"> </w:t>
      </w:r>
    </w:p>
    <w:p w:rsidR="00D65DB9" w:rsidRDefault="00D65DB9" w:rsidP="00355D43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D65DB9" w:rsidRDefault="00D65DB9" w:rsidP="00355D43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7A3F96" w:rsidRPr="00355D43" w:rsidRDefault="007A3F96" w:rsidP="00355D43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355D43">
        <w:rPr>
          <w:b/>
          <w:bCs/>
          <w:color w:val="000000"/>
          <w:u w:val="single"/>
        </w:rPr>
        <w:lastRenderedPageBreak/>
        <w:t>Design Standards for the TTP Program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rPr>
          <w:highlight w:val="yellow"/>
        </w:rPr>
      </w:pP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color w:val="000000"/>
        </w:rPr>
      </w:pPr>
      <w:r w:rsidRPr="00D65DB9">
        <w:rPr>
          <w:color w:val="000000"/>
        </w:rPr>
        <w:t xml:space="preserve">Depending on the nature of the project, tribes must use the following design standards, as applicable. </w:t>
      </w:r>
      <w:r w:rsidR="00D65DB9">
        <w:rPr>
          <w:color w:val="000000"/>
        </w:rPr>
        <w:t xml:space="preserve"> </w:t>
      </w:r>
      <w:r w:rsidRPr="00D65DB9">
        <w:rPr>
          <w:color w:val="000000"/>
        </w:rPr>
        <w:t xml:space="preserve">Additional standards may also apply. </w:t>
      </w:r>
      <w:r w:rsidR="00D65DB9">
        <w:rPr>
          <w:color w:val="000000"/>
        </w:rPr>
        <w:t xml:space="preserve"> </w:t>
      </w:r>
      <w:r w:rsidRPr="00D65DB9">
        <w:rPr>
          <w:color w:val="000000"/>
        </w:rPr>
        <w:t>In addition, tribes may develop design standards that meet or exceed the standards listed in this appendix.  To the extent that any provisions of these standards are inconsistent with</w:t>
      </w:r>
      <w:r w:rsidRPr="007A3F96">
        <w:rPr>
          <w:color w:val="000000"/>
        </w:rPr>
        <w:t xml:space="preserve"> ISDEAA, these provisions do not apply. </w:t>
      </w:r>
    </w:p>
    <w:p w:rsidR="006F7891" w:rsidRDefault="006F7891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1. AASHTO Policy on Geometric Design of Highways and Streets.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2. AASHTO A Guide for Transportation Landscape and Environmental Design.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3. AASHTO Roadside Design Guide, latest edition.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4. AASHTO Guide for Selecting, Locating and Designing Traffic Barriers, latest edition.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5. AASHTO Standard Specifications for Highway Bridges, latest edition. </w:t>
      </w:r>
    </w:p>
    <w:p w:rsidR="00D65DB9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6. AASHTO Guidelines of Geometric Design of Very Low-Volume Local Roads </w:t>
      </w:r>
    </w:p>
    <w:p w:rsidR="007A3F96" w:rsidRPr="007A3F96" w:rsidRDefault="00D65DB9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>
        <w:rPr>
          <w:color w:val="000000"/>
        </w:rPr>
        <w:tab/>
      </w:r>
      <w:r w:rsidR="007A3F96" w:rsidRPr="007A3F96">
        <w:rPr>
          <w:color w:val="000000"/>
        </w:rPr>
        <w:t xml:space="preserve">(ADT less than or equal to </w:t>
      </w:r>
      <w:r>
        <w:rPr>
          <w:color w:val="000000"/>
        </w:rPr>
        <w:t>400)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7. FHWA Federal Lands Highway, Project Development and Design Manual.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8. FHWA Flexibility in Highway Design.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9. FHWA Roadside Improvements for Local Road and Streets.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10. FHWA Improving Guardrail Installations and Local Roads and Streets.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11.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625, Design Standards for Highways.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12.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630, Preconstruction Procedures.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13.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633, Required Contract Provisions.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14.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635, Construction and Maintenance.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15.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645, Utilities.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16.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CFR part 646, Railroads.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17.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U.S.C. 106, PS&amp;E.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18. </w:t>
      </w:r>
      <w:r w:rsidR="00D65DB9">
        <w:rPr>
          <w:color w:val="000000"/>
        </w:rPr>
        <w:t xml:space="preserve"> </w:t>
      </w:r>
      <w:r w:rsidRPr="007A3F96">
        <w:rPr>
          <w:color w:val="000000"/>
        </w:rPr>
        <w:t xml:space="preserve">23 U.S.C. 109, Standards.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19. DOT Metric Conversion Plan, October 31, 1991.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 xml:space="preserve">20. MUTCD Manual of Uniform Traffic Safety Devices, latest edition. </w:t>
      </w:r>
    </w:p>
    <w:p w:rsidR="007A3F96" w:rsidRPr="007A3F96" w:rsidRDefault="007A3F96" w:rsidP="00D65DB9">
      <w:pPr>
        <w:widowControl w:val="0"/>
        <w:tabs>
          <w:tab w:val="left" w:pos="90"/>
        </w:tabs>
        <w:autoSpaceDE w:val="0"/>
        <w:autoSpaceDN w:val="0"/>
        <w:adjustRightInd w:val="0"/>
        <w:ind w:left="90"/>
        <w:rPr>
          <w:color w:val="000000"/>
        </w:rPr>
      </w:pPr>
      <w:r w:rsidRPr="007A3F96">
        <w:rPr>
          <w:color w:val="000000"/>
        </w:rPr>
        <w:t>21. Standard Specifications for Construction of Roads and Bridges on Federal Highway Projects, latest edition.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</w:pPr>
    </w:p>
    <w:p w:rsidR="006F7891" w:rsidRDefault="006F7891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7A3F96" w:rsidRPr="00712FB9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b/>
          <w:u w:val="single"/>
        </w:rPr>
      </w:pPr>
      <w:r w:rsidRPr="00712FB9">
        <w:rPr>
          <w:b/>
          <w:u w:val="single"/>
        </w:rPr>
        <w:lastRenderedPageBreak/>
        <w:t xml:space="preserve">List of Activities Eligible for Funding Under Tribal Transportation Facility Maintenance </w:t>
      </w: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</w:pPr>
    </w:p>
    <w:p w:rsidR="007A3F96" w:rsidRPr="007A3F96" w:rsidRDefault="007A3F96" w:rsidP="007A3F9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</w:pPr>
      <w:r w:rsidRPr="007A3F96">
        <w:t>The following activities are eligible for Tribal Transportation Facility Maintenance funding. The list is not all-inclusive.</w:t>
      </w:r>
    </w:p>
    <w:p w:rsidR="00D65DB9" w:rsidRDefault="00D65DB9" w:rsidP="00D65DB9"/>
    <w:p w:rsidR="00D65DB9" w:rsidRDefault="00D65DB9" w:rsidP="00712FB9">
      <w:pPr>
        <w:tabs>
          <w:tab w:val="left" w:pos="180"/>
        </w:tabs>
        <w:ind w:left="180"/>
      </w:pPr>
      <w:r>
        <w:t>1. Cleaning and repairing ditches and culverts.</w:t>
      </w:r>
    </w:p>
    <w:p w:rsidR="00D65DB9" w:rsidRDefault="00D65DB9" w:rsidP="00712FB9">
      <w:pPr>
        <w:tabs>
          <w:tab w:val="left" w:pos="180"/>
        </w:tabs>
        <w:ind w:left="180"/>
      </w:pPr>
      <w:r>
        <w:t>2. Stabilizing, removing, and controlling slides, drift sand, mud, ice, snow, and other impediments.</w:t>
      </w:r>
    </w:p>
    <w:p w:rsidR="00D65DB9" w:rsidRDefault="00D65DB9" w:rsidP="00712FB9">
      <w:pPr>
        <w:tabs>
          <w:tab w:val="left" w:pos="180"/>
        </w:tabs>
        <w:ind w:left="180"/>
      </w:pPr>
      <w:r>
        <w:t>3. Adding additional culverts to prevent roadway and adjoining property damage.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4. Repairing, replacing or installing traffic control devices, guardrails and other features necessary to </w:t>
      </w:r>
      <w:r>
        <w:tab/>
        <w:t xml:space="preserve">control </w:t>
      </w:r>
      <w:r w:rsidR="00712FB9">
        <w:tab/>
      </w:r>
      <w:r>
        <w:t>traffic and protect the road and the traveling public.</w:t>
      </w:r>
    </w:p>
    <w:p w:rsidR="00D65DB9" w:rsidRDefault="00D65DB9" w:rsidP="00712FB9">
      <w:pPr>
        <w:tabs>
          <w:tab w:val="left" w:pos="180"/>
        </w:tabs>
        <w:ind w:left="180"/>
      </w:pPr>
      <w:r>
        <w:t>5. Removing roadway hazards.</w:t>
      </w:r>
    </w:p>
    <w:p w:rsidR="00D65DB9" w:rsidRDefault="00D65DB9" w:rsidP="00712FB9">
      <w:pPr>
        <w:tabs>
          <w:tab w:val="left" w:pos="180"/>
        </w:tabs>
        <w:ind w:left="180"/>
      </w:pPr>
      <w:r>
        <w:t>6. Repairing or developing stable road embankments.</w:t>
      </w:r>
    </w:p>
    <w:p w:rsidR="00D65DB9" w:rsidRDefault="00D65DB9" w:rsidP="00712FB9">
      <w:pPr>
        <w:tabs>
          <w:tab w:val="left" w:pos="180"/>
        </w:tabs>
        <w:ind w:left="180"/>
      </w:pPr>
      <w:r>
        <w:t>7. Repairing parking facilities and appurtenances such as striping, lights, curbs, etc.</w:t>
      </w:r>
    </w:p>
    <w:p w:rsidR="00D65DB9" w:rsidRDefault="00D65DB9" w:rsidP="00712FB9">
      <w:pPr>
        <w:tabs>
          <w:tab w:val="left" w:pos="180"/>
        </w:tabs>
        <w:ind w:left="180"/>
      </w:pPr>
      <w:r>
        <w:t>8. Repairing transit facilities and appurtenances such as bus shelters, striping, sidewalks, etc.</w:t>
      </w:r>
    </w:p>
    <w:p w:rsidR="00D65DB9" w:rsidRDefault="00D65DB9" w:rsidP="00712FB9">
      <w:pPr>
        <w:tabs>
          <w:tab w:val="left" w:pos="180"/>
        </w:tabs>
        <w:ind w:left="180"/>
      </w:pPr>
      <w:r>
        <w:t>9. Training maintenance personnel.</w:t>
      </w:r>
    </w:p>
    <w:p w:rsidR="00D65DB9" w:rsidRDefault="00D65DB9" w:rsidP="00712FB9">
      <w:pPr>
        <w:tabs>
          <w:tab w:val="left" w:pos="180"/>
        </w:tabs>
        <w:ind w:left="180"/>
      </w:pPr>
      <w:r>
        <w:t>10. Administering the BIA transportation facility maintenance program.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11. Performing environmental/archeological mitigation associated with transportation facility </w:t>
      </w:r>
      <w:r>
        <w:tab/>
        <w:t>maintenance.</w:t>
      </w:r>
    </w:p>
    <w:p w:rsidR="00D65DB9" w:rsidRDefault="00D65DB9" w:rsidP="00712FB9">
      <w:pPr>
        <w:tabs>
          <w:tab w:val="left" w:pos="180"/>
        </w:tabs>
        <w:ind w:left="180"/>
      </w:pPr>
      <w:r>
        <w:t>12. Leasing, renting, or purchasing of maintenance equipment.</w:t>
      </w:r>
    </w:p>
    <w:p w:rsidR="00D65DB9" w:rsidRDefault="00D65DB9" w:rsidP="00712FB9">
      <w:pPr>
        <w:tabs>
          <w:tab w:val="left" w:pos="180"/>
        </w:tabs>
        <w:ind w:left="180"/>
      </w:pPr>
      <w:r>
        <w:t>13. Paying utilities cost for roadway lighting and traffic signals.</w:t>
      </w:r>
    </w:p>
    <w:p w:rsidR="00D65DB9" w:rsidRDefault="00D65DB9" w:rsidP="00712FB9">
      <w:pPr>
        <w:tabs>
          <w:tab w:val="left" w:pos="180"/>
        </w:tabs>
        <w:ind w:left="180"/>
      </w:pPr>
      <w:r>
        <w:t>14. Purchasing maintenance materials.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15. Developing, implementing, and maintaining a BIA Transportation Facility Maintenance Management </w:t>
      </w:r>
      <w:r w:rsidR="00712FB9">
        <w:tab/>
      </w:r>
      <w:r>
        <w:t>System (TFMMS).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16. Performing pavement maintenance such as pot hole patching, crack sealing, chip sealing, surface </w:t>
      </w:r>
      <w:r>
        <w:tab/>
        <w:t>rejuvenation, and thin overlays (less than 1 inch).</w:t>
      </w:r>
    </w:p>
    <w:p w:rsidR="00D65DB9" w:rsidRDefault="00D65DB9" w:rsidP="00712FB9">
      <w:pPr>
        <w:tabs>
          <w:tab w:val="left" w:pos="180"/>
        </w:tabs>
        <w:ind w:left="180"/>
      </w:pPr>
      <w:r>
        <w:t>17. Performing erosion control.</w:t>
      </w:r>
    </w:p>
    <w:p w:rsidR="00D65DB9" w:rsidRDefault="00D65DB9" w:rsidP="00712FB9">
      <w:pPr>
        <w:tabs>
          <w:tab w:val="left" w:pos="180"/>
        </w:tabs>
        <w:ind w:left="180"/>
      </w:pPr>
      <w:r>
        <w:t>18. Controlling roadway dust.</w:t>
      </w:r>
    </w:p>
    <w:p w:rsidR="00D65DB9" w:rsidRDefault="00D65DB9" w:rsidP="00712FB9">
      <w:pPr>
        <w:tabs>
          <w:tab w:val="left" w:pos="180"/>
        </w:tabs>
        <w:ind w:left="180"/>
      </w:pPr>
      <w:r>
        <w:t>19. Re-graveling roads.</w:t>
      </w:r>
    </w:p>
    <w:p w:rsidR="00D65DB9" w:rsidRDefault="00D65DB9" w:rsidP="00712FB9">
      <w:pPr>
        <w:tabs>
          <w:tab w:val="left" w:pos="180"/>
        </w:tabs>
        <w:ind w:left="180"/>
      </w:pPr>
      <w:r>
        <w:t>20. Controlling vegetation through mowing, noxious weed control, trimming, etc.</w:t>
      </w:r>
    </w:p>
    <w:p w:rsidR="00D65DB9" w:rsidRDefault="00D65DB9" w:rsidP="00712FB9">
      <w:pPr>
        <w:tabs>
          <w:tab w:val="left" w:pos="180"/>
        </w:tabs>
        <w:ind w:left="180"/>
      </w:pPr>
      <w:r>
        <w:t>21. Making bridge repairs.</w:t>
      </w:r>
    </w:p>
    <w:p w:rsidR="00D65DB9" w:rsidRDefault="00D65DB9" w:rsidP="00712FB9">
      <w:pPr>
        <w:tabs>
          <w:tab w:val="left" w:pos="180"/>
        </w:tabs>
        <w:ind w:left="180"/>
      </w:pPr>
      <w:r>
        <w:t>22. Paying the cost of closing of transportation facilities due to safety or other concerns.</w:t>
      </w:r>
    </w:p>
    <w:p w:rsidR="00D65DB9" w:rsidRDefault="00D65DB9" w:rsidP="00712FB9">
      <w:pPr>
        <w:tabs>
          <w:tab w:val="left" w:pos="180"/>
        </w:tabs>
        <w:ind w:left="180"/>
      </w:pPr>
      <w:r>
        <w:t>23. Maintaining airport runways, heliport pads, and their public access roads.</w:t>
      </w:r>
    </w:p>
    <w:p w:rsidR="00D65DB9" w:rsidRDefault="00D65DB9" w:rsidP="00712FB9">
      <w:pPr>
        <w:tabs>
          <w:tab w:val="left" w:pos="180"/>
        </w:tabs>
        <w:ind w:left="180"/>
      </w:pPr>
      <w:r>
        <w:t>24. Maintaining and operating BIA public ferry boats.</w:t>
      </w:r>
    </w:p>
    <w:p w:rsidR="00D65DB9" w:rsidRDefault="00D65DB9" w:rsidP="00712FB9">
      <w:pPr>
        <w:tabs>
          <w:tab w:val="left" w:pos="180"/>
        </w:tabs>
        <w:ind w:left="180"/>
      </w:pPr>
      <w:r>
        <w:t xml:space="preserve">25. Making highway alignment changes for safety reasons. These changes require prior notice to the </w:t>
      </w:r>
      <w:r>
        <w:tab/>
        <w:t>Secretary.</w:t>
      </w:r>
    </w:p>
    <w:p w:rsidR="00D65DB9" w:rsidRDefault="00D65DB9" w:rsidP="00712FB9">
      <w:pPr>
        <w:tabs>
          <w:tab w:val="left" w:pos="180"/>
        </w:tabs>
        <w:ind w:left="180"/>
      </w:pPr>
      <w:r>
        <w:t>26. Making temporary highway alignment or relocation changes for emergency reasons.</w:t>
      </w:r>
    </w:p>
    <w:p w:rsidR="00D65DB9" w:rsidRPr="007A3F96" w:rsidRDefault="00D65DB9" w:rsidP="00712FB9">
      <w:pPr>
        <w:tabs>
          <w:tab w:val="left" w:pos="180"/>
        </w:tabs>
        <w:ind w:left="180"/>
      </w:pPr>
      <w:r>
        <w:t xml:space="preserve">27. Maintaining other TTP intermodal transportation facilities provided that there is a properly executed </w:t>
      </w:r>
      <w:r>
        <w:tab/>
        <w:t>agreement with the owning public authority within available funding.</w:t>
      </w:r>
    </w:p>
    <w:sectPr w:rsidR="00D65DB9" w:rsidRPr="007A3F96" w:rsidSect="00355D43">
      <w:pgSz w:w="12240" w:h="20160" w:code="5"/>
      <w:pgMar w:top="1440" w:right="720" w:bottom="144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96"/>
    <w:rsid w:val="00355D43"/>
    <w:rsid w:val="00384F19"/>
    <w:rsid w:val="006F7891"/>
    <w:rsid w:val="00712FB9"/>
    <w:rsid w:val="00717030"/>
    <w:rsid w:val="007A3F96"/>
    <w:rsid w:val="00927B7A"/>
    <w:rsid w:val="00D65DB9"/>
    <w:rsid w:val="00D67650"/>
    <w:rsid w:val="00F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Simpson, Shannon</cp:lastModifiedBy>
  <cp:revision>2</cp:revision>
  <dcterms:created xsi:type="dcterms:W3CDTF">2015-01-09T19:14:00Z</dcterms:created>
  <dcterms:modified xsi:type="dcterms:W3CDTF">2015-01-09T19:14:00Z</dcterms:modified>
</cp:coreProperties>
</file>